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1D3E" w14:textId="77777777" w:rsidR="00381A4D" w:rsidRPr="004B3355" w:rsidRDefault="00381A4D" w:rsidP="0021200E">
      <w:pPr>
        <w:ind w:left="-709"/>
        <w:jc w:val="center"/>
        <w:rPr>
          <w:rFonts w:ascii="Helvetica" w:eastAsia="Times New Roman" w:hAnsi="Helvetica"/>
          <w:b/>
          <w:sz w:val="28"/>
          <w:szCs w:val="20"/>
        </w:rPr>
      </w:pPr>
      <w:r>
        <w:tab/>
      </w:r>
    </w:p>
    <w:tbl>
      <w:tblPr>
        <w:tblW w:w="0" w:type="auto"/>
        <w:tblLayout w:type="fixed"/>
        <w:tblCellMar>
          <w:left w:w="70" w:type="dxa"/>
          <w:right w:w="70" w:type="dxa"/>
        </w:tblCellMar>
        <w:tblLook w:val="0000" w:firstRow="0" w:lastRow="0" w:firstColumn="0" w:lastColumn="0" w:noHBand="0" w:noVBand="0"/>
      </w:tblPr>
      <w:tblGrid>
        <w:gridCol w:w="2197"/>
        <w:gridCol w:w="6945"/>
      </w:tblGrid>
      <w:tr w:rsidR="0021200E" w:rsidRPr="003D4B40" w14:paraId="26183ADE" w14:textId="77777777">
        <w:tc>
          <w:tcPr>
            <w:tcW w:w="2197" w:type="dxa"/>
          </w:tcPr>
          <w:p w14:paraId="464BBF58" w14:textId="77777777" w:rsidR="0021200E" w:rsidRPr="003D4B40" w:rsidRDefault="00A77D6C">
            <w:pPr>
              <w:pStyle w:val="En-tte"/>
              <w:tabs>
                <w:tab w:val="clear" w:pos="4536"/>
                <w:tab w:val="clear" w:pos="9072"/>
              </w:tabs>
            </w:pPr>
            <w:r w:rsidRPr="003D4B40">
              <w:rPr>
                <w:noProof/>
                <w:sz w:val="20"/>
              </w:rPr>
              <w:drawing>
                <wp:inline distT="0" distB="0" distL="0" distR="0" wp14:anchorId="48B2A24B" wp14:editId="0808EBC5">
                  <wp:extent cx="1193800" cy="1447800"/>
                  <wp:effectExtent l="0" t="0" r="0" b="0"/>
                  <wp:docPr id="1" name="Image 1" desc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1447800"/>
                          </a:xfrm>
                          <a:prstGeom prst="rect">
                            <a:avLst/>
                          </a:prstGeom>
                          <a:noFill/>
                          <a:ln>
                            <a:noFill/>
                          </a:ln>
                        </pic:spPr>
                      </pic:pic>
                    </a:graphicData>
                  </a:graphic>
                </wp:inline>
              </w:drawing>
            </w:r>
          </w:p>
        </w:tc>
        <w:tc>
          <w:tcPr>
            <w:tcW w:w="6945" w:type="dxa"/>
          </w:tcPr>
          <w:p w14:paraId="62F87B7E" w14:textId="77777777" w:rsidR="0021200E" w:rsidRPr="00B350B9" w:rsidRDefault="0021200E" w:rsidP="0021200E">
            <w:pPr>
              <w:jc w:val="center"/>
              <w:rPr>
                <w:rFonts w:ascii="Helvetica" w:hAnsi="Helvetica"/>
                <w:b/>
                <w:sz w:val="28"/>
              </w:rPr>
            </w:pPr>
          </w:p>
          <w:p w14:paraId="71A67985" w14:textId="77777777" w:rsidR="0021200E" w:rsidRPr="00B350B9" w:rsidRDefault="0021200E" w:rsidP="0021200E">
            <w:pPr>
              <w:jc w:val="center"/>
              <w:rPr>
                <w:rFonts w:ascii="Helvetica" w:hAnsi="Helvetica"/>
                <w:b/>
                <w:sz w:val="28"/>
              </w:rPr>
            </w:pPr>
          </w:p>
          <w:p w14:paraId="1A90E0F9" w14:textId="77777777" w:rsidR="0021200E" w:rsidRDefault="0021200E" w:rsidP="0021200E">
            <w:pPr>
              <w:jc w:val="center"/>
              <w:rPr>
                <w:rFonts w:ascii="Helvetica" w:hAnsi="Helvetica"/>
                <w:b/>
              </w:rPr>
            </w:pPr>
          </w:p>
          <w:p w14:paraId="43137B76" w14:textId="77777777" w:rsidR="0021200E" w:rsidRDefault="0021200E" w:rsidP="0021200E">
            <w:pPr>
              <w:jc w:val="center"/>
              <w:rPr>
                <w:rFonts w:ascii="Helvetica" w:eastAsia="Times New Roman" w:hAnsi="Helvetica"/>
                <w:b/>
                <w:sz w:val="28"/>
                <w:szCs w:val="20"/>
              </w:rPr>
            </w:pPr>
            <w:r>
              <w:rPr>
                <w:rFonts w:ascii="Helvetica" w:eastAsia="Times New Roman" w:hAnsi="Helvetica"/>
                <w:b/>
                <w:sz w:val="28"/>
                <w:szCs w:val="20"/>
              </w:rPr>
              <w:t>Motion de la Fédération des Parcs naturels régionaux</w:t>
            </w:r>
          </w:p>
          <w:p w14:paraId="5D7430E3" w14:textId="77777777" w:rsidR="00756F1A" w:rsidRDefault="00756F1A" w:rsidP="0021200E">
            <w:pPr>
              <w:jc w:val="center"/>
              <w:rPr>
                <w:rFonts w:ascii="Helvetica" w:eastAsia="Times New Roman" w:hAnsi="Helvetica"/>
                <w:b/>
                <w:sz w:val="28"/>
                <w:szCs w:val="20"/>
              </w:rPr>
            </w:pPr>
          </w:p>
          <w:p w14:paraId="4D845832" w14:textId="77777777" w:rsidR="00756F1A" w:rsidRDefault="00756F1A" w:rsidP="0021200E">
            <w:pPr>
              <w:jc w:val="center"/>
              <w:rPr>
                <w:rFonts w:ascii="Helvetica" w:eastAsia="Times New Roman" w:hAnsi="Helvetica"/>
                <w:b/>
                <w:sz w:val="28"/>
                <w:szCs w:val="20"/>
              </w:rPr>
            </w:pPr>
            <w:r>
              <w:rPr>
                <w:rFonts w:ascii="Helvetica" w:eastAsia="Times New Roman" w:hAnsi="Helvetica"/>
                <w:b/>
                <w:sz w:val="28"/>
                <w:szCs w:val="20"/>
              </w:rPr>
              <w:t>La méthanisation, une composante possible des mixtes énergétique dans les Parc</w:t>
            </w:r>
            <w:r w:rsidR="00330B15">
              <w:rPr>
                <w:rFonts w:ascii="Helvetica" w:eastAsia="Times New Roman" w:hAnsi="Helvetica"/>
                <w:b/>
                <w:sz w:val="28"/>
                <w:szCs w:val="20"/>
              </w:rPr>
              <w:t>s</w:t>
            </w:r>
            <w:r>
              <w:rPr>
                <w:rFonts w:ascii="Helvetica" w:eastAsia="Times New Roman" w:hAnsi="Helvetica"/>
                <w:b/>
                <w:sz w:val="28"/>
                <w:szCs w:val="20"/>
              </w:rPr>
              <w:t xml:space="preserve"> ? </w:t>
            </w:r>
          </w:p>
          <w:p w14:paraId="693846EF" w14:textId="77777777" w:rsidR="0021200E" w:rsidRDefault="0021200E" w:rsidP="0021200E">
            <w:pPr>
              <w:jc w:val="center"/>
              <w:rPr>
                <w:rFonts w:ascii="Helvetica" w:hAnsi="Helvetica"/>
                <w:b/>
              </w:rPr>
            </w:pPr>
          </w:p>
          <w:p w14:paraId="2F0637AF" w14:textId="77777777" w:rsidR="0021200E" w:rsidRDefault="0021200E" w:rsidP="00756F1A">
            <w:pPr>
              <w:rPr>
                <w:rFonts w:ascii="Helvetica" w:hAnsi="Helvetica"/>
                <w:b/>
              </w:rPr>
            </w:pPr>
          </w:p>
          <w:p w14:paraId="1C930DE4" w14:textId="7B2A975E" w:rsidR="0021200E" w:rsidRPr="00300D3E" w:rsidRDefault="00A77D6C" w:rsidP="0021200E">
            <w:pPr>
              <w:jc w:val="center"/>
              <w:rPr>
                <w:rFonts w:ascii="Helvetica" w:hAnsi="Helvetica"/>
                <w:b/>
              </w:rPr>
            </w:pPr>
            <w:r>
              <w:rPr>
                <w:rFonts w:ascii="Helvetica" w:hAnsi="Helvetica"/>
                <w:b/>
              </w:rPr>
              <w:t>Septembre 202</w:t>
            </w:r>
            <w:r w:rsidR="00BC4B28">
              <w:rPr>
                <w:rFonts w:ascii="Helvetica" w:hAnsi="Helvetica"/>
                <w:b/>
              </w:rPr>
              <w:t>1</w:t>
            </w:r>
          </w:p>
          <w:p w14:paraId="5088AB16" w14:textId="77777777" w:rsidR="0021200E" w:rsidRPr="007C7FBD" w:rsidRDefault="0021200E" w:rsidP="0021200E">
            <w:pPr>
              <w:jc w:val="center"/>
            </w:pPr>
          </w:p>
        </w:tc>
      </w:tr>
      <w:tr w:rsidR="00756F1A" w:rsidRPr="003D4B40" w14:paraId="0B5650CC" w14:textId="77777777">
        <w:tc>
          <w:tcPr>
            <w:tcW w:w="2197" w:type="dxa"/>
          </w:tcPr>
          <w:p w14:paraId="0A972241" w14:textId="77777777" w:rsidR="00756F1A" w:rsidRPr="003D4B40" w:rsidRDefault="00756F1A">
            <w:pPr>
              <w:pStyle w:val="En-tte"/>
              <w:tabs>
                <w:tab w:val="clear" w:pos="4536"/>
                <w:tab w:val="clear" w:pos="9072"/>
              </w:tabs>
              <w:rPr>
                <w:noProof/>
                <w:sz w:val="20"/>
              </w:rPr>
            </w:pPr>
          </w:p>
        </w:tc>
        <w:tc>
          <w:tcPr>
            <w:tcW w:w="6945" w:type="dxa"/>
          </w:tcPr>
          <w:p w14:paraId="6309D5A7" w14:textId="77777777" w:rsidR="00756F1A" w:rsidRPr="00B350B9" w:rsidRDefault="00756F1A" w:rsidP="0021200E">
            <w:pPr>
              <w:jc w:val="center"/>
              <w:rPr>
                <w:rFonts w:ascii="Helvetica" w:hAnsi="Helvetica"/>
                <w:b/>
                <w:sz w:val="28"/>
              </w:rPr>
            </w:pPr>
          </w:p>
        </w:tc>
      </w:tr>
    </w:tbl>
    <w:p w14:paraId="09664F85" w14:textId="77777777" w:rsidR="009D04F2" w:rsidRDefault="009D04F2" w:rsidP="00756F1A">
      <w:pPr>
        <w:spacing w:before="100" w:beforeAutospacing="1" w:after="100" w:afterAutospacing="1"/>
        <w:jc w:val="both"/>
        <w:rPr>
          <w:rFonts w:ascii="Helvetica" w:eastAsia="Times New Roman" w:hAnsi="Helvetica"/>
          <w:szCs w:val="20"/>
        </w:rPr>
      </w:pPr>
    </w:p>
    <w:p w14:paraId="350557A4" w14:textId="77777777" w:rsidR="00DA664D" w:rsidRPr="00E44581" w:rsidRDefault="00DB6B0C" w:rsidP="00E44581">
      <w:pPr>
        <w:spacing w:before="100" w:beforeAutospacing="1" w:after="100" w:afterAutospacing="1"/>
        <w:jc w:val="both"/>
        <w:rPr>
          <w:rFonts w:ascii="Helvetica" w:eastAsia="Times New Roman" w:hAnsi="Helvetica"/>
          <w:szCs w:val="20"/>
        </w:rPr>
      </w:pPr>
      <w:r>
        <w:rPr>
          <w:rFonts w:ascii="Helvetica" w:eastAsia="Times New Roman" w:hAnsi="Helvetica"/>
          <w:szCs w:val="20"/>
        </w:rPr>
        <w:t xml:space="preserve">Favorisant dans l’ensemble de leurs politiques la sobriété énergétique et la valorisation raisonnée des ressources, les Parcs </w:t>
      </w:r>
      <w:r w:rsidR="00165489">
        <w:rPr>
          <w:rFonts w:ascii="Helvetica" w:eastAsia="Times New Roman" w:hAnsi="Helvetica"/>
          <w:szCs w:val="20"/>
        </w:rPr>
        <w:t>naturels régionaux soutiennent les modèles de développement alliant</w:t>
      </w:r>
      <w:r>
        <w:rPr>
          <w:rFonts w:ascii="Helvetica" w:eastAsia="Times New Roman" w:hAnsi="Helvetica"/>
          <w:szCs w:val="20"/>
        </w:rPr>
        <w:t xml:space="preserve"> ambitions climatiques, patrimoniales, environnementale, sociales et économiques</w:t>
      </w:r>
    </w:p>
    <w:p w14:paraId="28FFFC81" w14:textId="77777777" w:rsidR="00DB6B0C" w:rsidRDefault="00381A4D" w:rsidP="0021200E">
      <w:pPr>
        <w:spacing w:before="100" w:beforeAutospacing="1" w:after="100" w:afterAutospacing="1"/>
        <w:jc w:val="both"/>
        <w:rPr>
          <w:rFonts w:ascii="Helvetica" w:eastAsia="Times New Roman" w:hAnsi="Helvetica"/>
          <w:szCs w:val="20"/>
        </w:rPr>
      </w:pPr>
      <w:r>
        <w:rPr>
          <w:rFonts w:ascii="Helvetica" w:eastAsia="Times New Roman" w:hAnsi="Helvetica"/>
          <w:szCs w:val="20"/>
        </w:rPr>
        <w:t xml:space="preserve">Promoteurs et contributeurs des transitions écologiques et énergétiques, les Parcs </w:t>
      </w:r>
      <w:r w:rsidR="00165489">
        <w:rPr>
          <w:rFonts w:ascii="Helvetica" w:eastAsia="Times New Roman" w:hAnsi="Helvetica"/>
          <w:szCs w:val="20"/>
        </w:rPr>
        <w:t>se s</w:t>
      </w:r>
      <w:r w:rsidR="00DB6B0C">
        <w:rPr>
          <w:rFonts w:ascii="Helvetica" w:eastAsia="Times New Roman" w:hAnsi="Helvetica"/>
          <w:szCs w:val="20"/>
        </w:rPr>
        <w:t xml:space="preserve">ont progressivement </w:t>
      </w:r>
      <w:r w:rsidR="000F612D">
        <w:rPr>
          <w:rFonts w:ascii="Helvetica" w:eastAsia="Times New Roman" w:hAnsi="Helvetica"/>
          <w:szCs w:val="20"/>
        </w:rPr>
        <w:t>dotés</w:t>
      </w:r>
      <w:r w:rsidR="00DB6B0C">
        <w:rPr>
          <w:rFonts w:ascii="Helvetica" w:eastAsia="Times New Roman" w:hAnsi="Helvetica"/>
          <w:szCs w:val="20"/>
        </w:rPr>
        <w:t xml:space="preserve"> </w:t>
      </w:r>
      <w:r w:rsidR="00A50F0C">
        <w:rPr>
          <w:rFonts w:ascii="Helvetica" w:eastAsia="Times New Roman" w:hAnsi="Helvetica"/>
          <w:szCs w:val="20"/>
        </w:rPr>
        <w:t>d</w:t>
      </w:r>
      <w:r w:rsidR="00165489">
        <w:rPr>
          <w:rFonts w:ascii="Helvetica" w:eastAsia="Times New Roman" w:hAnsi="Helvetica"/>
          <w:szCs w:val="20"/>
        </w:rPr>
        <w:t>’une</w:t>
      </w:r>
      <w:r w:rsidR="00A50F0C">
        <w:rPr>
          <w:rFonts w:ascii="Helvetica" w:eastAsia="Times New Roman" w:hAnsi="Helvetica"/>
          <w:szCs w:val="20"/>
        </w:rPr>
        <w:t xml:space="preserve"> ingénierie</w:t>
      </w:r>
      <w:r w:rsidR="00165489">
        <w:rPr>
          <w:rFonts w:ascii="Helvetica" w:eastAsia="Times New Roman" w:hAnsi="Helvetica"/>
          <w:szCs w:val="20"/>
        </w:rPr>
        <w:t xml:space="preserve"> qualifiée dans l’environnement, les énergies renouvelables et les paysages</w:t>
      </w:r>
      <w:r w:rsidR="00DB6B0C">
        <w:rPr>
          <w:rFonts w:ascii="Helvetica" w:eastAsia="Times New Roman" w:hAnsi="Helvetica"/>
          <w:szCs w:val="20"/>
        </w:rPr>
        <w:t>, de documents d’orientation</w:t>
      </w:r>
      <w:r w:rsidR="00165489">
        <w:rPr>
          <w:rFonts w:ascii="Helvetica" w:eastAsia="Times New Roman" w:hAnsi="Helvetica"/>
          <w:szCs w:val="20"/>
        </w:rPr>
        <w:t>s et de planifications et d’outils spécifiques, souvent innovants.</w:t>
      </w:r>
      <w:r w:rsidR="00DB6B0C">
        <w:rPr>
          <w:rFonts w:ascii="Helvetica" w:eastAsia="Times New Roman" w:hAnsi="Helvetica"/>
          <w:szCs w:val="20"/>
        </w:rPr>
        <w:t xml:space="preserve"> </w:t>
      </w:r>
      <w:r w:rsidR="00165489">
        <w:rPr>
          <w:rFonts w:ascii="Helvetica" w:eastAsia="Times New Roman" w:hAnsi="Helvetica"/>
          <w:szCs w:val="20"/>
        </w:rPr>
        <w:t>Ils ont ain</w:t>
      </w:r>
      <w:r w:rsidR="006A384C">
        <w:rPr>
          <w:rFonts w:ascii="Helvetica" w:eastAsia="Times New Roman" w:hAnsi="Helvetica"/>
          <w:szCs w:val="20"/>
        </w:rPr>
        <w:t>s</w:t>
      </w:r>
      <w:r w:rsidR="00165489">
        <w:rPr>
          <w:rFonts w:ascii="Helvetica" w:eastAsia="Times New Roman" w:hAnsi="Helvetica"/>
          <w:szCs w:val="20"/>
        </w:rPr>
        <w:t xml:space="preserve">i contribué </w:t>
      </w:r>
      <w:proofErr w:type="spellStart"/>
      <w:proofErr w:type="gramStart"/>
      <w:r w:rsidR="00165489">
        <w:rPr>
          <w:rFonts w:ascii="Helvetica" w:eastAsia="Times New Roman" w:hAnsi="Helvetica"/>
          <w:szCs w:val="20"/>
        </w:rPr>
        <w:t>a</w:t>
      </w:r>
      <w:proofErr w:type="spellEnd"/>
      <w:proofErr w:type="gramEnd"/>
      <w:r w:rsidR="00165489">
        <w:rPr>
          <w:rFonts w:ascii="Helvetica" w:eastAsia="Times New Roman" w:hAnsi="Helvetica"/>
          <w:szCs w:val="20"/>
        </w:rPr>
        <w:t xml:space="preserve"> </w:t>
      </w:r>
      <w:r w:rsidR="00DB6B0C">
        <w:rPr>
          <w:rFonts w:ascii="Helvetica" w:eastAsia="Times New Roman" w:hAnsi="Helvetica"/>
          <w:szCs w:val="20"/>
        </w:rPr>
        <w:t>favoris</w:t>
      </w:r>
      <w:r w:rsidR="00165489">
        <w:rPr>
          <w:rFonts w:ascii="Helvetica" w:eastAsia="Times New Roman" w:hAnsi="Helvetica"/>
          <w:szCs w:val="20"/>
        </w:rPr>
        <w:t>er</w:t>
      </w:r>
      <w:r w:rsidR="00DB6B0C">
        <w:rPr>
          <w:rFonts w:ascii="Helvetica" w:eastAsia="Times New Roman" w:hAnsi="Helvetica"/>
          <w:szCs w:val="20"/>
        </w:rPr>
        <w:t xml:space="preserve"> l’intégration de ces enjeux au sein des collectivités qui composent </w:t>
      </w:r>
      <w:r w:rsidR="00165489">
        <w:rPr>
          <w:rFonts w:ascii="Helvetica" w:eastAsia="Times New Roman" w:hAnsi="Helvetica"/>
          <w:szCs w:val="20"/>
        </w:rPr>
        <w:t>leurs territoires</w:t>
      </w:r>
      <w:r w:rsidR="00DB6B0C">
        <w:rPr>
          <w:rFonts w:ascii="Helvetica" w:eastAsia="Times New Roman" w:hAnsi="Helvetica"/>
          <w:szCs w:val="20"/>
        </w:rPr>
        <w:t>.</w:t>
      </w:r>
    </w:p>
    <w:p w14:paraId="7F86B71A" w14:textId="77777777" w:rsidR="00381A4D" w:rsidRDefault="009A02D2" w:rsidP="0021200E">
      <w:pPr>
        <w:spacing w:before="100" w:beforeAutospacing="1" w:after="100" w:afterAutospacing="1"/>
        <w:jc w:val="both"/>
        <w:rPr>
          <w:rFonts w:ascii="Helvetica" w:eastAsia="Times New Roman" w:hAnsi="Helvetica"/>
          <w:szCs w:val="20"/>
        </w:rPr>
      </w:pPr>
      <w:r>
        <w:rPr>
          <w:rFonts w:ascii="Helvetica" w:eastAsia="Times New Roman" w:hAnsi="Helvetica"/>
          <w:szCs w:val="20"/>
        </w:rPr>
        <w:t>Dès 2010, des travaux expérimentaux ont été conduit dans différents Parcs sur la valorisation des déchets agricol</w:t>
      </w:r>
      <w:r w:rsidR="00584DB4">
        <w:rPr>
          <w:rFonts w:ascii="Helvetica" w:eastAsia="Times New Roman" w:hAnsi="Helvetica"/>
          <w:szCs w:val="20"/>
        </w:rPr>
        <w:t>e, des effluents d’élevage</w:t>
      </w:r>
      <w:r>
        <w:rPr>
          <w:rFonts w:ascii="Helvetica" w:eastAsia="Times New Roman" w:hAnsi="Helvetica"/>
          <w:szCs w:val="20"/>
        </w:rPr>
        <w:t xml:space="preserve"> et sur la méthanisation à la ferme. </w:t>
      </w:r>
      <w:r w:rsidR="00584DB4">
        <w:rPr>
          <w:rFonts w:ascii="Helvetica" w:eastAsia="Times New Roman" w:hAnsi="Helvetica"/>
          <w:szCs w:val="20"/>
        </w:rPr>
        <w:t xml:space="preserve">Dans le même temps, le réseau des Parcs a travaillé sur la maîtrise et la production d’énergie à l’échelle de l’exploitation ou de réseau d’exploitations locales. </w:t>
      </w:r>
    </w:p>
    <w:p w14:paraId="6E2B6345" w14:textId="77777777" w:rsidR="00584DB4" w:rsidRDefault="00584DB4" w:rsidP="0021200E">
      <w:pPr>
        <w:spacing w:before="100" w:beforeAutospacing="1" w:after="100" w:afterAutospacing="1"/>
        <w:jc w:val="both"/>
        <w:rPr>
          <w:rFonts w:ascii="Helvetica" w:eastAsia="Times New Roman" w:hAnsi="Helvetica"/>
          <w:szCs w:val="20"/>
        </w:rPr>
      </w:pPr>
      <w:r>
        <w:rPr>
          <w:rFonts w:ascii="Helvetica" w:eastAsia="Times New Roman" w:hAnsi="Helvetica"/>
          <w:szCs w:val="20"/>
        </w:rPr>
        <w:t xml:space="preserve">Aujourd’hui, les Parcs constate une montée en puissance des projets et des ambitions sur ce sujet de la méthanisation qui conduit la Fédération </w:t>
      </w:r>
      <w:proofErr w:type="gramStart"/>
      <w:r>
        <w:rPr>
          <w:rFonts w:ascii="Helvetica" w:eastAsia="Times New Roman" w:hAnsi="Helvetica"/>
          <w:szCs w:val="20"/>
        </w:rPr>
        <w:t>a</w:t>
      </w:r>
      <w:proofErr w:type="gramEnd"/>
      <w:r>
        <w:rPr>
          <w:rFonts w:ascii="Helvetica" w:eastAsia="Times New Roman" w:hAnsi="Helvetica"/>
          <w:szCs w:val="20"/>
        </w:rPr>
        <w:t xml:space="preserve"> rappeler les principes qui doivent structurer le développement de la méthanisation sur les Parcs naturels régionaux. </w:t>
      </w:r>
    </w:p>
    <w:p w14:paraId="118C2D9A" w14:textId="77777777" w:rsidR="0001349C" w:rsidRPr="0001349C" w:rsidRDefault="00165489" w:rsidP="0001349C">
      <w:pPr>
        <w:rPr>
          <w:rFonts w:ascii="Calibri" w:eastAsia="Times New Roman" w:hAnsi="Calibri" w:cs="Calibri"/>
          <w:b/>
          <w:color w:val="000000"/>
          <w:sz w:val="28"/>
          <w:szCs w:val="28"/>
        </w:rPr>
      </w:pPr>
      <w:r>
        <w:rPr>
          <w:rFonts w:ascii="Calibri" w:eastAsia="Times New Roman" w:hAnsi="Calibri" w:cs="Calibri"/>
          <w:b/>
          <w:color w:val="000000"/>
          <w:sz w:val="28"/>
          <w:szCs w:val="28"/>
        </w:rPr>
        <w:t>Poursuivre l’ambition d’être u</w:t>
      </w:r>
      <w:r w:rsidR="0001349C" w:rsidRPr="0001349C">
        <w:rPr>
          <w:rFonts w:ascii="Calibri" w:eastAsia="Times New Roman" w:hAnsi="Calibri" w:cs="Calibri"/>
          <w:b/>
          <w:color w:val="000000"/>
          <w:sz w:val="28"/>
          <w:szCs w:val="28"/>
        </w:rPr>
        <w:t xml:space="preserve">n label qui engage les </w:t>
      </w:r>
      <w:r>
        <w:rPr>
          <w:rFonts w:ascii="Calibri" w:eastAsia="Times New Roman" w:hAnsi="Calibri" w:cs="Calibri"/>
          <w:b/>
          <w:color w:val="000000"/>
          <w:sz w:val="28"/>
          <w:szCs w:val="28"/>
        </w:rPr>
        <w:t xml:space="preserve">collectivités des </w:t>
      </w:r>
      <w:r w:rsidR="0001349C" w:rsidRPr="0001349C">
        <w:rPr>
          <w:rFonts w:ascii="Calibri" w:eastAsia="Times New Roman" w:hAnsi="Calibri" w:cs="Calibri"/>
          <w:b/>
          <w:color w:val="000000"/>
          <w:sz w:val="28"/>
          <w:szCs w:val="28"/>
        </w:rPr>
        <w:t>territoires, les régions et l’État</w:t>
      </w:r>
    </w:p>
    <w:p w14:paraId="49BE3733" w14:textId="77777777" w:rsidR="0001349C" w:rsidRDefault="0001349C" w:rsidP="0001349C">
      <w:pPr>
        <w:rPr>
          <w:rFonts w:ascii="Calibri" w:eastAsia="Times New Roman" w:hAnsi="Calibri" w:cs="Calibri"/>
          <w:color w:val="000000"/>
          <w:szCs w:val="22"/>
        </w:rPr>
      </w:pPr>
    </w:p>
    <w:p w14:paraId="21587998" w14:textId="77777777" w:rsidR="0001349C" w:rsidRDefault="0001349C" w:rsidP="0001349C">
      <w:pPr>
        <w:pBdr>
          <w:top w:val="single" w:sz="4" w:space="1" w:color="auto"/>
          <w:left w:val="single" w:sz="4" w:space="4" w:color="auto"/>
          <w:bottom w:val="single" w:sz="4" w:space="1" w:color="auto"/>
          <w:right w:val="single" w:sz="4" w:space="4" w:color="auto"/>
        </w:pBdr>
        <w:rPr>
          <w:rFonts w:ascii="Helvetica" w:eastAsia="Times New Roman" w:hAnsi="Helvetica"/>
          <w:szCs w:val="20"/>
        </w:rPr>
      </w:pPr>
      <w:r w:rsidRPr="0001349C">
        <w:rPr>
          <w:rFonts w:ascii="Helvetica" w:eastAsia="Times New Roman" w:hAnsi="Helvetica"/>
          <w:szCs w:val="20"/>
        </w:rPr>
        <w:t xml:space="preserve">Comme le mentionne le code de l’environnement dans son </w:t>
      </w:r>
      <w:r w:rsidRPr="0001349C">
        <w:rPr>
          <w:rFonts w:ascii="Helvetica" w:eastAsia="Times New Roman" w:hAnsi="Helvetica"/>
          <w:b/>
          <w:szCs w:val="20"/>
        </w:rPr>
        <w:t>article R333-1</w:t>
      </w:r>
      <w:r w:rsidRPr="0001349C">
        <w:rPr>
          <w:rFonts w:ascii="Helvetica" w:eastAsia="Times New Roman" w:hAnsi="Helvetica"/>
          <w:szCs w:val="20"/>
        </w:rPr>
        <w:t xml:space="preserve">, les Parcs naturels régionaux ont </w:t>
      </w:r>
      <w:r w:rsidRPr="006A1D89">
        <w:rPr>
          <w:rFonts w:ascii="Helvetica" w:eastAsia="Times New Roman" w:hAnsi="Helvetica"/>
          <w:szCs w:val="20"/>
        </w:rPr>
        <w:t xml:space="preserve">pour objet : </w:t>
      </w:r>
      <w:r w:rsidRPr="006A1D89">
        <w:rPr>
          <w:rFonts w:ascii="Helvetica" w:eastAsia="Times New Roman" w:hAnsi="Helvetica"/>
          <w:szCs w:val="20"/>
        </w:rPr>
        <w:br/>
      </w:r>
      <w:r w:rsidRPr="006A1D89">
        <w:rPr>
          <w:rFonts w:ascii="Helvetica" w:eastAsia="Times New Roman" w:hAnsi="Helvetica"/>
          <w:szCs w:val="20"/>
        </w:rPr>
        <w:br/>
        <w:t xml:space="preserve">1° De protéger les paysages et le patrimoine naturel et culturel, notamment par une gestion adaptée ; </w:t>
      </w:r>
    </w:p>
    <w:p w14:paraId="5A3D7C6E" w14:textId="77777777" w:rsidR="0001349C" w:rsidRDefault="0001349C" w:rsidP="0001349C">
      <w:pPr>
        <w:pBdr>
          <w:top w:val="single" w:sz="4" w:space="1" w:color="auto"/>
          <w:left w:val="single" w:sz="4" w:space="4" w:color="auto"/>
          <w:bottom w:val="single" w:sz="4" w:space="1" w:color="auto"/>
          <w:right w:val="single" w:sz="4" w:space="4" w:color="auto"/>
        </w:pBdr>
        <w:rPr>
          <w:rFonts w:ascii="Helvetica" w:eastAsia="Times New Roman" w:hAnsi="Helvetica"/>
          <w:szCs w:val="20"/>
        </w:rPr>
      </w:pPr>
      <w:r w:rsidRPr="006A1D89">
        <w:rPr>
          <w:rFonts w:ascii="Helvetica" w:eastAsia="Times New Roman" w:hAnsi="Helvetica"/>
          <w:szCs w:val="20"/>
        </w:rPr>
        <w:t>2° De contribuer à l'aménagement du territoire ;</w:t>
      </w:r>
    </w:p>
    <w:p w14:paraId="03DB7B5B" w14:textId="77777777" w:rsidR="0001349C" w:rsidRDefault="0001349C" w:rsidP="0001349C">
      <w:pPr>
        <w:pBdr>
          <w:top w:val="single" w:sz="4" w:space="1" w:color="auto"/>
          <w:left w:val="single" w:sz="4" w:space="4" w:color="auto"/>
          <w:bottom w:val="single" w:sz="4" w:space="1" w:color="auto"/>
          <w:right w:val="single" w:sz="4" w:space="4" w:color="auto"/>
        </w:pBdr>
        <w:rPr>
          <w:rFonts w:ascii="Helvetica" w:eastAsia="Times New Roman" w:hAnsi="Helvetica"/>
          <w:szCs w:val="20"/>
        </w:rPr>
      </w:pPr>
      <w:r w:rsidRPr="006A1D89">
        <w:rPr>
          <w:rFonts w:ascii="Helvetica" w:eastAsia="Times New Roman" w:hAnsi="Helvetica"/>
          <w:szCs w:val="20"/>
        </w:rPr>
        <w:t>3° De contribuer au développement économique, social, culturel et à la qualité de la vie ;</w:t>
      </w:r>
    </w:p>
    <w:p w14:paraId="1617FB0C" w14:textId="77777777" w:rsidR="0001349C" w:rsidRDefault="0001349C" w:rsidP="0001349C">
      <w:pPr>
        <w:pBdr>
          <w:top w:val="single" w:sz="4" w:space="1" w:color="auto"/>
          <w:left w:val="single" w:sz="4" w:space="4" w:color="auto"/>
          <w:bottom w:val="single" w:sz="4" w:space="1" w:color="auto"/>
          <w:right w:val="single" w:sz="4" w:space="4" w:color="auto"/>
        </w:pBdr>
        <w:rPr>
          <w:rFonts w:ascii="Helvetica" w:eastAsia="Times New Roman" w:hAnsi="Helvetica"/>
          <w:szCs w:val="20"/>
        </w:rPr>
      </w:pPr>
      <w:r w:rsidRPr="006A1D89">
        <w:rPr>
          <w:rFonts w:ascii="Helvetica" w:eastAsia="Times New Roman" w:hAnsi="Helvetica"/>
          <w:szCs w:val="20"/>
        </w:rPr>
        <w:t>4° De contribuer à assurer l'accueil, l'éducation et l'information du public ;</w:t>
      </w:r>
    </w:p>
    <w:p w14:paraId="3106BC8C" w14:textId="77777777" w:rsidR="0001349C" w:rsidRPr="0001349C" w:rsidRDefault="0001349C" w:rsidP="0001349C">
      <w:pPr>
        <w:pBdr>
          <w:top w:val="single" w:sz="4" w:space="1" w:color="auto"/>
          <w:left w:val="single" w:sz="4" w:space="4" w:color="auto"/>
          <w:bottom w:val="single" w:sz="4" w:space="1" w:color="auto"/>
          <w:right w:val="single" w:sz="4" w:space="4" w:color="auto"/>
        </w:pBdr>
        <w:rPr>
          <w:rFonts w:ascii="Helvetica" w:eastAsia="Times New Roman" w:hAnsi="Helvetica"/>
          <w:szCs w:val="20"/>
        </w:rPr>
      </w:pPr>
      <w:r w:rsidRPr="006A1D89">
        <w:rPr>
          <w:rFonts w:ascii="Helvetica" w:eastAsia="Times New Roman" w:hAnsi="Helvetica"/>
          <w:szCs w:val="20"/>
        </w:rPr>
        <w:t>5° De réaliser des actions expérimentales ou exemplaires dans les domaines cités ci-dessus et</w:t>
      </w:r>
      <w:r w:rsidRPr="006A1D89">
        <w:rPr>
          <w:rFonts w:ascii="Times New Roman" w:eastAsia="Times New Roman" w:hAnsi="Times New Roman"/>
          <w:sz w:val="24"/>
        </w:rPr>
        <w:t xml:space="preserve"> de contribuer à des programmes de recherche.</w:t>
      </w:r>
    </w:p>
    <w:p w14:paraId="6A7C21BF" w14:textId="77777777" w:rsidR="0001349C" w:rsidRPr="0001349C" w:rsidRDefault="0001349C" w:rsidP="0001349C">
      <w:pPr>
        <w:spacing w:before="100" w:beforeAutospacing="1" w:after="100" w:afterAutospacing="1"/>
        <w:jc w:val="both"/>
        <w:rPr>
          <w:rFonts w:ascii="Helvetica" w:eastAsia="Times New Roman" w:hAnsi="Helvetica"/>
          <w:szCs w:val="20"/>
        </w:rPr>
      </w:pPr>
      <w:r>
        <w:rPr>
          <w:rFonts w:ascii="Helvetica" w:eastAsia="Times New Roman" w:hAnsi="Helvetica"/>
          <w:szCs w:val="20"/>
        </w:rPr>
        <w:lastRenderedPageBreak/>
        <w:t>L</w:t>
      </w:r>
      <w:r w:rsidRPr="0001349C">
        <w:rPr>
          <w:rFonts w:ascii="Helvetica" w:eastAsia="Times New Roman" w:hAnsi="Helvetica"/>
          <w:szCs w:val="20"/>
        </w:rPr>
        <w:t>e classement du Parc est prononcé par décret pris sur le rapport du ministre chargé de l’environnement</w:t>
      </w:r>
      <w:r>
        <w:rPr>
          <w:rFonts w:ascii="Helvetica" w:eastAsia="Times New Roman" w:hAnsi="Helvetica"/>
          <w:szCs w:val="20"/>
        </w:rPr>
        <w:t xml:space="preserve"> (</w:t>
      </w:r>
      <w:r w:rsidRPr="0001349C">
        <w:rPr>
          <w:rFonts w:ascii="Helvetica" w:eastAsia="Times New Roman" w:hAnsi="Helvetica"/>
          <w:szCs w:val="20"/>
        </w:rPr>
        <w:t>article R333-10 du code de l’environnement</w:t>
      </w:r>
      <w:r>
        <w:rPr>
          <w:rFonts w:ascii="Helvetica" w:eastAsia="Times New Roman" w:hAnsi="Helvetica"/>
          <w:szCs w:val="20"/>
        </w:rPr>
        <w:t>).</w:t>
      </w:r>
    </w:p>
    <w:p w14:paraId="372782E4" w14:textId="77777777" w:rsidR="0001349C" w:rsidRPr="0001349C" w:rsidRDefault="0001349C" w:rsidP="0001349C">
      <w:pPr>
        <w:spacing w:before="100" w:beforeAutospacing="1" w:after="100" w:afterAutospacing="1"/>
        <w:jc w:val="both"/>
        <w:rPr>
          <w:rFonts w:ascii="Helvetica" w:eastAsia="Times New Roman" w:hAnsi="Helvetica"/>
          <w:szCs w:val="20"/>
        </w:rPr>
      </w:pPr>
      <w:r w:rsidRPr="0001349C">
        <w:rPr>
          <w:rFonts w:ascii="Helvetica" w:eastAsia="Times New Roman" w:hAnsi="Helvetica"/>
          <w:szCs w:val="20"/>
        </w:rPr>
        <w:t>Les Parcs sont consultés notamment</w:t>
      </w:r>
      <w:r>
        <w:rPr>
          <w:rFonts w:ascii="Helvetica" w:eastAsia="Times New Roman" w:hAnsi="Helvetica"/>
          <w:szCs w:val="20"/>
        </w:rPr>
        <w:t xml:space="preserve">, </w:t>
      </w:r>
      <w:r w:rsidRPr="0001349C">
        <w:rPr>
          <w:rFonts w:ascii="Helvetica" w:eastAsia="Times New Roman" w:hAnsi="Helvetica"/>
          <w:szCs w:val="20"/>
        </w:rPr>
        <w:t>comme l’indique l</w:t>
      </w:r>
      <w:r>
        <w:rPr>
          <w:rFonts w:ascii="Helvetica" w:eastAsia="Times New Roman" w:hAnsi="Helvetica"/>
          <w:szCs w:val="20"/>
        </w:rPr>
        <w:t xml:space="preserve">es </w:t>
      </w:r>
      <w:r w:rsidRPr="0001349C">
        <w:rPr>
          <w:rFonts w:ascii="Helvetica" w:eastAsia="Times New Roman" w:hAnsi="Helvetica"/>
          <w:szCs w:val="20"/>
        </w:rPr>
        <w:t>article</w:t>
      </w:r>
      <w:r>
        <w:rPr>
          <w:rFonts w:ascii="Helvetica" w:eastAsia="Times New Roman" w:hAnsi="Helvetica"/>
          <w:szCs w:val="20"/>
        </w:rPr>
        <w:t>s</w:t>
      </w:r>
      <w:r w:rsidRPr="0001349C">
        <w:rPr>
          <w:rFonts w:ascii="Helvetica" w:eastAsia="Times New Roman" w:hAnsi="Helvetica"/>
          <w:szCs w:val="20"/>
        </w:rPr>
        <w:t xml:space="preserve"> R333-14 et lR333-15</w:t>
      </w:r>
      <w:r>
        <w:rPr>
          <w:rFonts w:ascii="Helvetica" w:eastAsia="Times New Roman" w:hAnsi="Helvetica"/>
          <w:szCs w:val="20"/>
        </w:rPr>
        <w:t xml:space="preserve"> du code de l’Environnement</w:t>
      </w:r>
      <w:r w:rsidRPr="0001349C">
        <w:rPr>
          <w:rFonts w:ascii="Helvetica" w:eastAsia="Times New Roman" w:hAnsi="Helvetica"/>
          <w:szCs w:val="20"/>
        </w:rPr>
        <w:t>, lors de l’élaboration des documents stratégiques d’aménagement (schémas régionaux air énergie et climat, projets d’installation relevant du dispositif ICPE</w:t>
      </w:r>
      <w:r w:rsidR="00165489">
        <w:rPr>
          <w:rFonts w:ascii="Helvetica" w:eastAsia="Times New Roman" w:hAnsi="Helvetica"/>
          <w:szCs w:val="20"/>
        </w:rPr>
        <w:t>).</w:t>
      </w:r>
    </w:p>
    <w:p w14:paraId="01D52AE4" w14:textId="77777777" w:rsidR="00B34C3B" w:rsidRDefault="0001349C" w:rsidP="0001349C">
      <w:pPr>
        <w:spacing w:before="100" w:beforeAutospacing="1" w:after="100" w:afterAutospacing="1"/>
        <w:jc w:val="both"/>
        <w:rPr>
          <w:rFonts w:ascii="Helvetica" w:eastAsia="Times New Roman" w:hAnsi="Helvetica"/>
          <w:szCs w:val="20"/>
        </w:rPr>
      </w:pPr>
      <w:r w:rsidRPr="0001349C">
        <w:rPr>
          <w:rFonts w:ascii="Helvetica" w:eastAsia="Times New Roman" w:hAnsi="Helvetica"/>
          <w:szCs w:val="20"/>
        </w:rPr>
        <w:t>Ainsi, le classement du Parc engage l’État et les Régions concernées dans le soutien et la prise en compte des enjeux et objectifs définis par la charte notamment en matière énergétique, climatique paysagère et écologique.</w:t>
      </w:r>
      <w:r w:rsidR="00165489">
        <w:rPr>
          <w:rFonts w:ascii="Helvetica" w:eastAsia="Times New Roman" w:hAnsi="Helvetica"/>
          <w:szCs w:val="20"/>
        </w:rPr>
        <w:t xml:space="preserve"> </w:t>
      </w:r>
    </w:p>
    <w:p w14:paraId="69DB19EF" w14:textId="77777777" w:rsidR="0001349C" w:rsidRPr="0001349C" w:rsidRDefault="0001349C" w:rsidP="0001349C">
      <w:pPr>
        <w:spacing w:before="100" w:beforeAutospacing="1" w:after="100" w:afterAutospacing="1"/>
        <w:jc w:val="both"/>
        <w:rPr>
          <w:rFonts w:ascii="Helvetica" w:eastAsia="Times New Roman" w:hAnsi="Helvetica"/>
          <w:b/>
          <w:sz w:val="28"/>
          <w:szCs w:val="28"/>
        </w:rPr>
      </w:pPr>
      <w:r w:rsidRPr="0001349C">
        <w:rPr>
          <w:rFonts w:ascii="Helvetica" w:eastAsia="Times New Roman" w:hAnsi="Helvetica"/>
          <w:b/>
          <w:sz w:val="28"/>
          <w:szCs w:val="28"/>
        </w:rPr>
        <w:t xml:space="preserve">Des chartes de Parc qui traitent de la question énergétique et climatique </w:t>
      </w:r>
    </w:p>
    <w:p w14:paraId="157ECD01" w14:textId="77777777" w:rsidR="00962549" w:rsidRDefault="0001349C" w:rsidP="00E44581">
      <w:pPr>
        <w:spacing w:before="100" w:beforeAutospacing="1" w:after="100" w:afterAutospacing="1"/>
        <w:jc w:val="both"/>
        <w:rPr>
          <w:rFonts w:ascii="Helvetica" w:eastAsia="Times New Roman" w:hAnsi="Helvetica"/>
          <w:szCs w:val="20"/>
        </w:rPr>
      </w:pPr>
      <w:r w:rsidRPr="0001349C">
        <w:rPr>
          <w:rFonts w:ascii="Helvetica" w:eastAsia="Times New Roman" w:hAnsi="Helvetica"/>
          <w:szCs w:val="20"/>
        </w:rPr>
        <w:t>La charte d’un Parc est le fruit d’un long et minutieu</w:t>
      </w:r>
      <w:r w:rsidR="00E44581">
        <w:rPr>
          <w:rFonts w:ascii="Helvetica" w:eastAsia="Times New Roman" w:hAnsi="Helvetica"/>
          <w:szCs w:val="20"/>
        </w:rPr>
        <w:t>x</w:t>
      </w:r>
      <w:r w:rsidRPr="0001349C">
        <w:rPr>
          <w:rFonts w:ascii="Helvetica" w:eastAsia="Times New Roman" w:hAnsi="Helvetica"/>
          <w:szCs w:val="20"/>
        </w:rPr>
        <w:t xml:space="preserve"> travail collaboratif avec l’ensemble des acteurs du territoire. Documentée, elle fait l’objet d’une enquête publique et pose les ambitions du territoire</w:t>
      </w:r>
      <w:r w:rsidR="00106EB4">
        <w:rPr>
          <w:rFonts w:ascii="Helvetica" w:eastAsia="Times New Roman" w:hAnsi="Helvetica"/>
          <w:szCs w:val="20"/>
        </w:rPr>
        <w:t xml:space="preserve"> </w:t>
      </w:r>
      <w:r w:rsidRPr="0001349C">
        <w:rPr>
          <w:rFonts w:ascii="Helvetica" w:eastAsia="Times New Roman" w:hAnsi="Helvetica"/>
          <w:szCs w:val="20"/>
        </w:rPr>
        <w:t>concerné</w:t>
      </w:r>
      <w:r w:rsidR="00E44581">
        <w:rPr>
          <w:rFonts w:ascii="Helvetica" w:eastAsia="Times New Roman" w:hAnsi="Helvetica"/>
          <w:szCs w:val="20"/>
        </w:rPr>
        <w:t>.</w:t>
      </w:r>
      <w:r w:rsidR="00E44581" w:rsidRPr="00E44581">
        <w:rPr>
          <w:rFonts w:ascii="Helvetica" w:eastAsia="Times New Roman" w:hAnsi="Helvetica"/>
          <w:szCs w:val="20"/>
        </w:rPr>
        <w:t xml:space="preserve"> </w:t>
      </w:r>
      <w:r w:rsidR="00E44581">
        <w:rPr>
          <w:rFonts w:ascii="Helvetica" w:eastAsia="Times New Roman" w:hAnsi="Helvetica"/>
          <w:szCs w:val="20"/>
        </w:rPr>
        <w:t>Ce document construit et validé par l’ensemble des collectivités formalise le projet de territoire pour les 15 années à venir.</w:t>
      </w:r>
      <w:r w:rsidR="00E44581" w:rsidRPr="00E44581">
        <w:rPr>
          <w:rFonts w:ascii="Helvetica" w:eastAsia="Times New Roman" w:hAnsi="Helvetica"/>
          <w:szCs w:val="20"/>
        </w:rPr>
        <w:t xml:space="preserve"> </w:t>
      </w:r>
    </w:p>
    <w:p w14:paraId="3C8B6E6A" w14:textId="77777777" w:rsidR="00962549" w:rsidRDefault="00E44581" w:rsidP="00E44581">
      <w:pPr>
        <w:spacing w:before="100" w:beforeAutospacing="1" w:after="100" w:afterAutospacing="1"/>
        <w:jc w:val="both"/>
        <w:rPr>
          <w:rFonts w:ascii="Helvetica" w:eastAsia="Times New Roman" w:hAnsi="Helvetica"/>
          <w:szCs w:val="20"/>
        </w:rPr>
      </w:pPr>
      <w:r>
        <w:rPr>
          <w:rFonts w:ascii="Helvetica" w:eastAsia="Times New Roman" w:hAnsi="Helvetica"/>
          <w:szCs w:val="20"/>
        </w:rPr>
        <w:t xml:space="preserve">Les </w:t>
      </w:r>
      <w:r w:rsidRPr="0001349C">
        <w:rPr>
          <w:rFonts w:ascii="Helvetica" w:eastAsia="Times New Roman" w:hAnsi="Helvetica"/>
          <w:szCs w:val="20"/>
        </w:rPr>
        <w:t xml:space="preserve">chartes de Parcs intègrent à la fois des objectifs </w:t>
      </w:r>
      <w:r w:rsidR="00720C39">
        <w:rPr>
          <w:rFonts w:ascii="Helvetica" w:eastAsia="Times New Roman" w:hAnsi="Helvetica"/>
          <w:szCs w:val="20"/>
        </w:rPr>
        <w:t>de</w:t>
      </w:r>
      <w:r w:rsidRPr="0001349C">
        <w:rPr>
          <w:rFonts w:ascii="Helvetica" w:eastAsia="Times New Roman" w:hAnsi="Helvetica"/>
          <w:szCs w:val="20"/>
        </w:rPr>
        <w:t xml:space="preserve"> sobriété et </w:t>
      </w:r>
      <w:r w:rsidR="00720C39">
        <w:rPr>
          <w:rFonts w:ascii="Helvetica" w:eastAsia="Times New Roman" w:hAnsi="Helvetica"/>
          <w:szCs w:val="20"/>
        </w:rPr>
        <w:t>pose l</w:t>
      </w:r>
      <w:r w:rsidR="00D71BBF">
        <w:rPr>
          <w:rFonts w:ascii="Helvetica" w:eastAsia="Times New Roman" w:hAnsi="Helvetica"/>
          <w:szCs w:val="20"/>
        </w:rPr>
        <w:t>’enjeu du</w:t>
      </w:r>
      <w:r w:rsidRPr="0001349C">
        <w:rPr>
          <w:rFonts w:ascii="Helvetica" w:eastAsia="Times New Roman" w:hAnsi="Helvetica"/>
          <w:szCs w:val="20"/>
        </w:rPr>
        <w:t xml:space="preserve"> mixte énergétique à retenir </w:t>
      </w:r>
      <w:r>
        <w:rPr>
          <w:rFonts w:ascii="Helvetica" w:eastAsia="Times New Roman" w:hAnsi="Helvetica"/>
          <w:szCs w:val="20"/>
        </w:rPr>
        <w:t xml:space="preserve">ainsi que </w:t>
      </w:r>
      <w:r w:rsidRPr="0001349C">
        <w:rPr>
          <w:rFonts w:ascii="Helvetica" w:eastAsia="Times New Roman" w:hAnsi="Helvetica"/>
          <w:szCs w:val="20"/>
        </w:rPr>
        <w:t>des éléments d’orientation sur les énergies renouvelables</w:t>
      </w:r>
      <w:r>
        <w:rPr>
          <w:rFonts w:ascii="Helvetica" w:eastAsia="Times New Roman" w:hAnsi="Helvetica"/>
          <w:szCs w:val="20"/>
        </w:rPr>
        <w:t xml:space="preserve"> et leur intégration </w:t>
      </w:r>
      <w:r w:rsidR="00766267">
        <w:rPr>
          <w:rFonts w:ascii="Helvetica" w:eastAsia="Times New Roman" w:hAnsi="Helvetica"/>
          <w:szCs w:val="20"/>
        </w:rPr>
        <w:t>dans</w:t>
      </w:r>
      <w:r w:rsidR="00D71BBF">
        <w:rPr>
          <w:rFonts w:ascii="Helvetica" w:eastAsia="Times New Roman" w:hAnsi="Helvetica"/>
          <w:szCs w:val="20"/>
        </w:rPr>
        <w:t xml:space="preserve"> chaque territoire</w:t>
      </w:r>
      <w:r>
        <w:rPr>
          <w:rFonts w:ascii="Helvetica" w:eastAsia="Times New Roman" w:hAnsi="Helvetica"/>
          <w:szCs w:val="20"/>
        </w:rPr>
        <w:t>. La Charte</w:t>
      </w:r>
      <w:r w:rsidR="00591A4B">
        <w:rPr>
          <w:rFonts w:ascii="Helvetica" w:eastAsia="Times New Roman" w:hAnsi="Helvetica"/>
          <w:szCs w:val="20"/>
        </w:rPr>
        <w:t xml:space="preserve"> et le plan de Parc sont</w:t>
      </w:r>
      <w:r>
        <w:rPr>
          <w:rFonts w:ascii="Helvetica" w:eastAsia="Times New Roman" w:hAnsi="Helvetica"/>
          <w:szCs w:val="20"/>
        </w:rPr>
        <w:t xml:space="preserve"> complété</w:t>
      </w:r>
      <w:r w:rsidR="00591A4B">
        <w:rPr>
          <w:rFonts w:ascii="Helvetica" w:eastAsia="Times New Roman" w:hAnsi="Helvetica"/>
          <w:szCs w:val="20"/>
        </w:rPr>
        <w:t>s</w:t>
      </w:r>
      <w:r>
        <w:rPr>
          <w:rFonts w:ascii="Helvetica" w:eastAsia="Times New Roman" w:hAnsi="Helvetica"/>
          <w:szCs w:val="20"/>
        </w:rPr>
        <w:t xml:space="preserve"> par des documents</w:t>
      </w:r>
      <w:r w:rsidR="00962549">
        <w:rPr>
          <w:rFonts w:ascii="Helvetica" w:eastAsia="Times New Roman" w:hAnsi="Helvetica"/>
          <w:szCs w:val="20"/>
        </w:rPr>
        <w:t xml:space="preserve"> </w:t>
      </w:r>
      <w:r>
        <w:rPr>
          <w:rFonts w:ascii="Helvetica" w:eastAsia="Times New Roman" w:hAnsi="Helvetica"/>
          <w:szCs w:val="20"/>
        </w:rPr>
        <w:t>d’orientations, des notes méthodologiques</w:t>
      </w:r>
      <w:r w:rsidR="00962549">
        <w:rPr>
          <w:rFonts w:ascii="Helvetica" w:eastAsia="Times New Roman" w:hAnsi="Helvetica"/>
          <w:szCs w:val="20"/>
        </w:rPr>
        <w:t xml:space="preserve"> (PCAET</w:t>
      </w:r>
      <w:r w:rsidR="00A77D6C">
        <w:rPr>
          <w:rFonts w:ascii="Helvetica" w:eastAsia="Times New Roman" w:hAnsi="Helvetica"/>
          <w:szCs w:val="20"/>
        </w:rPr>
        <w:t xml:space="preserve"> pouvant être porté par le Parc</w:t>
      </w:r>
      <w:r w:rsidR="00962549">
        <w:rPr>
          <w:rFonts w:ascii="Helvetica" w:eastAsia="Times New Roman" w:hAnsi="Helvetica"/>
          <w:szCs w:val="20"/>
        </w:rPr>
        <w:t>, note d’orientation énergétique, biodiversité ou paysagère</w:t>
      </w:r>
      <w:proofErr w:type="gramStart"/>
      <w:r w:rsidR="00962549">
        <w:rPr>
          <w:rFonts w:ascii="Helvetica" w:eastAsia="Times New Roman" w:hAnsi="Helvetica"/>
          <w:szCs w:val="20"/>
        </w:rPr>
        <w:t xml:space="preserve">), </w:t>
      </w:r>
      <w:r>
        <w:rPr>
          <w:rFonts w:ascii="Helvetica" w:eastAsia="Times New Roman" w:hAnsi="Helvetica"/>
          <w:szCs w:val="20"/>
        </w:rPr>
        <w:t xml:space="preserve"> qui</w:t>
      </w:r>
      <w:proofErr w:type="gramEnd"/>
      <w:r>
        <w:rPr>
          <w:rFonts w:ascii="Helvetica" w:eastAsia="Times New Roman" w:hAnsi="Helvetica"/>
          <w:szCs w:val="20"/>
        </w:rPr>
        <w:t xml:space="preserve"> traduisent les enjeux de chaque territoire classé.</w:t>
      </w:r>
      <w:r w:rsidRPr="00E44581">
        <w:rPr>
          <w:rFonts w:ascii="Helvetica" w:eastAsia="Times New Roman" w:hAnsi="Helvetica"/>
          <w:szCs w:val="20"/>
        </w:rPr>
        <w:t xml:space="preserve"> </w:t>
      </w:r>
      <w:r>
        <w:rPr>
          <w:rFonts w:ascii="Helvetica" w:eastAsia="Times New Roman" w:hAnsi="Helvetica"/>
          <w:szCs w:val="20"/>
        </w:rPr>
        <w:t>L’ensemble des chartes de Parc intègrent la transition énergétique et la lutte contre le changement climatique</w:t>
      </w:r>
    </w:p>
    <w:p w14:paraId="4C17A42F" w14:textId="77777777" w:rsidR="00E44581" w:rsidRDefault="00962549" w:rsidP="00E44581">
      <w:pPr>
        <w:spacing w:before="100" w:beforeAutospacing="1" w:after="100" w:afterAutospacing="1"/>
        <w:jc w:val="both"/>
        <w:rPr>
          <w:rFonts w:ascii="Helvetica" w:eastAsia="Times New Roman" w:hAnsi="Helvetica"/>
          <w:szCs w:val="20"/>
        </w:rPr>
      </w:pPr>
      <w:r>
        <w:rPr>
          <w:rFonts w:ascii="Helvetica" w:eastAsia="Times New Roman" w:hAnsi="Helvetica"/>
          <w:szCs w:val="20"/>
        </w:rPr>
        <w:t xml:space="preserve">Concernant le </w:t>
      </w:r>
      <w:r w:rsidR="00E44581">
        <w:rPr>
          <w:rFonts w:ascii="Helvetica" w:eastAsia="Times New Roman" w:hAnsi="Helvetica"/>
          <w:szCs w:val="20"/>
        </w:rPr>
        <w:t xml:space="preserve">développement de </w:t>
      </w:r>
      <w:r w:rsidR="000E2919">
        <w:rPr>
          <w:rFonts w:ascii="Helvetica" w:eastAsia="Times New Roman" w:hAnsi="Helvetica"/>
          <w:szCs w:val="20"/>
        </w:rPr>
        <w:t>la méthanisation</w:t>
      </w:r>
      <w:r>
        <w:rPr>
          <w:rFonts w:ascii="Helvetica" w:eastAsia="Times New Roman" w:hAnsi="Helvetica"/>
          <w:szCs w:val="20"/>
        </w:rPr>
        <w:t xml:space="preserve">, les Parcs </w:t>
      </w:r>
      <w:r w:rsidR="000E2919">
        <w:rPr>
          <w:rFonts w:ascii="Helvetica" w:eastAsia="Times New Roman" w:hAnsi="Helvetica"/>
          <w:szCs w:val="20"/>
        </w:rPr>
        <w:t xml:space="preserve">traitent ce sujet via les positionnements </w:t>
      </w:r>
      <w:r w:rsidR="00604700">
        <w:rPr>
          <w:rFonts w:ascii="Helvetica" w:eastAsia="Times New Roman" w:hAnsi="Helvetica"/>
          <w:szCs w:val="20"/>
        </w:rPr>
        <w:t>énergétiques identifiés</w:t>
      </w:r>
      <w:r w:rsidR="000E2919">
        <w:rPr>
          <w:rFonts w:ascii="Helvetica" w:eastAsia="Times New Roman" w:hAnsi="Helvetica"/>
          <w:szCs w:val="20"/>
        </w:rPr>
        <w:t xml:space="preserve"> et en lien avec les questions agricoles paysagères et alimentaires (préservation des productions agricoles existantes,</w:t>
      </w:r>
      <w:r w:rsidR="00604700">
        <w:rPr>
          <w:rFonts w:ascii="Helvetica" w:eastAsia="Times New Roman" w:hAnsi="Helvetica"/>
          <w:szCs w:val="20"/>
        </w:rPr>
        <w:t xml:space="preserve"> </w:t>
      </w:r>
      <w:r w:rsidR="000E2919">
        <w:rPr>
          <w:rFonts w:ascii="Helvetica" w:eastAsia="Times New Roman" w:hAnsi="Helvetica"/>
          <w:szCs w:val="20"/>
        </w:rPr>
        <w:t>etc…)</w:t>
      </w:r>
      <w:r w:rsidR="00E44581">
        <w:rPr>
          <w:rFonts w:ascii="Helvetica" w:eastAsia="Times New Roman" w:hAnsi="Helvetica"/>
          <w:szCs w:val="20"/>
        </w:rPr>
        <w:t xml:space="preserve"> des sensibilités écologiques, culturelles, sociales et paysagères de ces territoires d’exception</w:t>
      </w:r>
      <w:r w:rsidR="00EB2B12">
        <w:rPr>
          <w:rFonts w:ascii="Helvetica" w:eastAsia="Times New Roman" w:hAnsi="Helvetica"/>
          <w:szCs w:val="20"/>
        </w:rPr>
        <w:t>.</w:t>
      </w:r>
    </w:p>
    <w:p w14:paraId="42028A72" w14:textId="77777777" w:rsidR="00EB2B12" w:rsidRDefault="00EB2B12" w:rsidP="00CF3FC9">
      <w:pPr>
        <w:spacing w:before="100" w:beforeAutospacing="1" w:after="100" w:afterAutospacing="1"/>
        <w:jc w:val="both"/>
        <w:rPr>
          <w:rFonts w:ascii="Helvetica" w:eastAsia="Lucida Sans Unicode" w:hAnsi="Helvetica" w:cs="Tahoma"/>
          <w:szCs w:val="20"/>
        </w:rPr>
      </w:pPr>
    </w:p>
    <w:p w14:paraId="76861C6A" w14:textId="77777777" w:rsidR="00EB2B12" w:rsidRPr="00135D47" w:rsidRDefault="009A7C61" w:rsidP="00CF3FC9">
      <w:pPr>
        <w:spacing w:before="100" w:beforeAutospacing="1" w:after="100" w:afterAutospacing="1"/>
        <w:jc w:val="both"/>
        <w:rPr>
          <w:rFonts w:ascii="Helvetica" w:eastAsia="Times New Roman" w:hAnsi="Helvetica"/>
          <w:b/>
          <w:sz w:val="28"/>
          <w:szCs w:val="28"/>
        </w:rPr>
      </w:pPr>
      <w:r>
        <w:rPr>
          <w:rFonts w:ascii="Helvetica" w:eastAsia="Times New Roman" w:hAnsi="Helvetica"/>
          <w:b/>
          <w:sz w:val="28"/>
          <w:szCs w:val="28"/>
        </w:rPr>
        <w:t xml:space="preserve">Une méthanisation qui </w:t>
      </w:r>
      <w:r w:rsidR="00F65365">
        <w:rPr>
          <w:rFonts w:ascii="Helvetica" w:eastAsia="Times New Roman" w:hAnsi="Helvetica"/>
          <w:b/>
          <w:sz w:val="28"/>
          <w:szCs w:val="28"/>
        </w:rPr>
        <w:t>intègre</w:t>
      </w:r>
      <w:r>
        <w:rPr>
          <w:rFonts w:ascii="Helvetica" w:eastAsia="Times New Roman" w:hAnsi="Helvetica"/>
          <w:b/>
          <w:sz w:val="28"/>
          <w:szCs w:val="28"/>
        </w:rPr>
        <w:t xml:space="preserve"> les choix énergétiques du territoire et fixe de </w:t>
      </w:r>
      <w:r w:rsidR="00F65365">
        <w:rPr>
          <w:rFonts w:ascii="Helvetica" w:eastAsia="Times New Roman" w:hAnsi="Helvetica"/>
          <w:b/>
          <w:sz w:val="28"/>
          <w:szCs w:val="28"/>
        </w:rPr>
        <w:t>l’économie locale</w:t>
      </w:r>
    </w:p>
    <w:p w14:paraId="11FD0905" w14:textId="77777777" w:rsidR="00A95D27" w:rsidRDefault="00F65365" w:rsidP="00CF3FC9">
      <w:pPr>
        <w:spacing w:before="100" w:beforeAutospacing="1" w:after="100" w:afterAutospacing="1"/>
        <w:jc w:val="both"/>
        <w:rPr>
          <w:rFonts w:ascii="Helvetica" w:eastAsia="Lucida Sans Unicode" w:hAnsi="Helvetica" w:cs="Tahoma"/>
          <w:szCs w:val="20"/>
        </w:rPr>
      </w:pPr>
      <w:r>
        <w:rPr>
          <w:rFonts w:ascii="Helvetica" w:eastAsia="Lucida Sans Unicode" w:hAnsi="Helvetica" w:cs="Tahoma"/>
          <w:szCs w:val="20"/>
        </w:rPr>
        <w:t xml:space="preserve">Le développement des projets de méthanisation dans les Parcs naturels régionaux doit être en cohérence avec la stratégie énergétique énoncée dans la charte du Parc ou dans les documents de positionnement annexés ou produits par le Parc. </w:t>
      </w:r>
      <w:r w:rsidR="00604700">
        <w:rPr>
          <w:rFonts w:ascii="Helvetica" w:eastAsia="Lucida Sans Unicode" w:hAnsi="Helvetica" w:cs="Tahoma"/>
          <w:szCs w:val="20"/>
        </w:rPr>
        <w:t xml:space="preserve">Les porteurs de projets sont invités le plus en amont possible à en prendre connaissance et à contacter le Parc. </w:t>
      </w:r>
    </w:p>
    <w:p w14:paraId="334FB7B2" w14:textId="7160CFC1" w:rsidR="00472EFA" w:rsidRDefault="00F65365" w:rsidP="00197322">
      <w:pPr>
        <w:spacing w:before="100" w:beforeAutospacing="1" w:after="100" w:afterAutospacing="1"/>
        <w:jc w:val="both"/>
        <w:rPr>
          <w:rFonts w:ascii="Helvetica" w:eastAsia="Lucida Sans Unicode" w:hAnsi="Helvetica" w:cs="Tahoma"/>
          <w:szCs w:val="20"/>
        </w:rPr>
      </w:pPr>
      <w:r>
        <w:rPr>
          <w:rFonts w:ascii="Helvetica" w:eastAsia="Lucida Sans Unicode" w:hAnsi="Helvetica" w:cs="Tahoma"/>
          <w:szCs w:val="20"/>
        </w:rPr>
        <w:t xml:space="preserve">Composante </w:t>
      </w:r>
      <w:r w:rsidR="00604700">
        <w:rPr>
          <w:rFonts w:ascii="Helvetica" w:eastAsia="Lucida Sans Unicode" w:hAnsi="Helvetica" w:cs="Tahoma"/>
          <w:szCs w:val="20"/>
        </w:rPr>
        <w:t xml:space="preserve">possible </w:t>
      </w:r>
      <w:r>
        <w:rPr>
          <w:rFonts w:ascii="Helvetica" w:eastAsia="Lucida Sans Unicode" w:hAnsi="Helvetica" w:cs="Tahoma"/>
          <w:szCs w:val="20"/>
        </w:rPr>
        <w:t xml:space="preserve">d’un mixte énergétique en cohérence avec les missions des Parcs et les objectifs fixés dans chacune des chartes, les projets de méthanisation doivent le plus en amont possible s’articuler avec les choix stratégiques que le syndicat mixte du Parc a </w:t>
      </w:r>
      <w:r w:rsidR="00A77D6C">
        <w:rPr>
          <w:rFonts w:ascii="Helvetica" w:eastAsia="Lucida Sans Unicode" w:hAnsi="Helvetica" w:cs="Tahoma"/>
          <w:szCs w:val="20"/>
        </w:rPr>
        <w:t xml:space="preserve">formalisé dans sa charte, ses documents d’orientation ou ses motions. </w:t>
      </w:r>
    </w:p>
    <w:p w14:paraId="2A0F03E5" w14:textId="1D152782" w:rsidR="003D0C0B" w:rsidRDefault="003D0C0B" w:rsidP="00197322">
      <w:pPr>
        <w:spacing w:before="100" w:beforeAutospacing="1" w:after="100" w:afterAutospacing="1"/>
        <w:jc w:val="both"/>
        <w:rPr>
          <w:rFonts w:ascii="Helvetica" w:eastAsia="Lucida Sans Unicode" w:hAnsi="Helvetica" w:cs="Tahoma"/>
          <w:szCs w:val="20"/>
        </w:rPr>
      </w:pPr>
    </w:p>
    <w:p w14:paraId="4F996C5C" w14:textId="5721AE8A" w:rsidR="003D0C0B" w:rsidRDefault="003D0C0B" w:rsidP="00197322">
      <w:pPr>
        <w:spacing w:before="100" w:beforeAutospacing="1" w:after="100" w:afterAutospacing="1"/>
        <w:jc w:val="both"/>
        <w:rPr>
          <w:rFonts w:ascii="Helvetica" w:eastAsia="Lucida Sans Unicode" w:hAnsi="Helvetica" w:cs="Tahoma"/>
          <w:szCs w:val="20"/>
        </w:rPr>
      </w:pPr>
      <w:r>
        <w:rPr>
          <w:rFonts w:ascii="Helvetica" w:eastAsia="Lucida Sans Unicode" w:hAnsi="Helvetica" w:cs="Tahoma"/>
          <w:szCs w:val="20"/>
        </w:rPr>
        <w:t xml:space="preserve">Comme pour l’ensemble des énergies renouvelables, les Parcs souhaitent que la dimension participative des projets auprès des acteurs du territoires (habitants, collectivités, groupement d’acteurs locaux) la plus effective dans les projets et ainsi bénéficie à l’économie du territoire. </w:t>
      </w:r>
    </w:p>
    <w:p w14:paraId="17E914BB" w14:textId="6DAF7432" w:rsidR="003D0C0B" w:rsidRDefault="003D0C0B" w:rsidP="00197322">
      <w:pPr>
        <w:spacing w:before="100" w:beforeAutospacing="1" w:after="100" w:afterAutospacing="1"/>
        <w:jc w:val="both"/>
        <w:rPr>
          <w:rFonts w:ascii="Helvetica" w:eastAsia="Lucida Sans Unicode" w:hAnsi="Helvetica" w:cs="Tahoma"/>
          <w:szCs w:val="20"/>
        </w:rPr>
      </w:pPr>
      <w:r>
        <w:rPr>
          <w:rFonts w:ascii="Helvetica" w:eastAsia="Lucida Sans Unicode" w:hAnsi="Helvetica" w:cs="Tahoma"/>
          <w:szCs w:val="20"/>
        </w:rPr>
        <w:lastRenderedPageBreak/>
        <w:t>En matière de carbone, l’efficacité des projets doit pouvoir contribuer à l’engagement des Parcs sur la transition énergétique et la trajectoire carbone tant au niveau du circuit économique (</w:t>
      </w:r>
      <w:r w:rsidR="001F68F3">
        <w:rPr>
          <w:rFonts w:ascii="Helvetica" w:eastAsia="Lucida Sans Unicode" w:hAnsi="Helvetica" w:cs="Tahoma"/>
          <w:szCs w:val="20"/>
        </w:rPr>
        <w:t>production, équipement</w:t>
      </w:r>
      <w:r>
        <w:rPr>
          <w:rFonts w:ascii="Helvetica" w:eastAsia="Lucida Sans Unicode" w:hAnsi="Helvetica" w:cs="Tahoma"/>
          <w:szCs w:val="20"/>
        </w:rPr>
        <w:t>, transport</w:t>
      </w:r>
      <w:r w:rsidR="001F68F3">
        <w:rPr>
          <w:rFonts w:ascii="Helvetica" w:eastAsia="Lucida Sans Unicode" w:hAnsi="Helvetica" w:cs="Tahoma"/>
          <w:szCs w:val="20"/>
        </w:rPr>
        <w:t xml:space="preserve">) qu’à travers la préservation de milieux permettant de stocker du carbone </w:t>
      </w:r>
      <w:proofErr w:type="gramStart"/>
      <w:r w:rsidR="001F68F3">
        <w:rPr>
          <w:rFonts w:ascii="Helvetica" w:eastAsia="Lucida Sans Unicode" w:hAnsi="Helvetica" w:cs="Tahoma"/>
          <w:szCs w:val="20"/>
        </w:rPr>
        <w:t>( prairie</w:t>
      </w:r>
      <w:proofErr w:type="gramEnd"/>
      <w:r w:rsidR="001F68F3">
        <w:rPr>
          <w:rFonts w:ascii="Helvetica" w:eastAsia="Lucida Sans Unicode" w:hAnsi="Helvetica" w:cs="Tahoma"/>
          <w:szCs w:val="20"/>
        </w:rPr>
        <w:t>, tourbière, forêt, etc.)</w:t>
      </w:r>
    </w:p>
    <w:p w14:paraId="1446E7F5" w14:textId="77777777" w:rsidR="007F6F20" w:rsidRDefault="007F6F20" w:rsidP="0022370A">
      <w:pPr>
        <w:spacing w:before="100" w:beforeAutospacing="1" w:after="100" w:afterAutospacing="1"/>
        <w:jc w:val="both"/>
        <w:rPr>
          <w:rFonts w:ascii="Helvetica" w:eastAsia="Lucida Sans Unicode" w:hAnsi="Helvetica" w:cs="Tahoma"/>
          <w:szCs w:val="20"/>
        </w:rPr>
      </w:pPr>
    </w:p>
    <w:p w14:paraId="7F3D4FA2" w14:textId="77777777" w:rsidR="00604700" w:rsidRDefault="00604700" w:rsidP="0022370A">
      <w:pPr>
        <w:spacing w:before="100" w:beforeAutospacing="1" w:after="100" w:afterAutospacing="1"/>
        <w:jc w:val="both"/>
        <w:rPr>
          <w:rFonts w:ascii="Helvetica" w:eastAsia="Lucida Sans Unicode" w:hAnsi="Helvetica" w:cs="Tahoma"/>
          <w:szCs w:val="20"/>
        </w:rPr>
      </w:pPr>
    </w:p>
    <w:p w14:paraId="6E24EB71" w14:textId="77777777" w:rsidR="00B34C3B" w:rsidRPr="00197322" w:rsidRDefault="009A7C61" w:rsidP="00197322">
      <w:pPr>
        <w:spacing w:before="100" w:beforeAutospacing="1" w:after="100" w:afterAutospacing="1"/>
        <w:jc w:val="both"/>
        <w:rPr>
          <w:rFonts w:ascii="Helvetica" w:eastAsia="Times New Roman" w:hAnsi="Helvetica"/>
          <w:b/>
          <w:sz w:val="28"/>
          <w:szCs w:val="28"/>
        </w:rPr>
      </w:pPr>
      <w:r>
        <w:rPr>
          <w:rFonts w:ascii="Helvetica" w:eastAsia="Times New Roman" w:hAnsi="Helvetica"/>
          <w:b/>
          <w:sz w:val="28"/>
          <w:szCs w:val="28"/>
        </w:rPr>
        <w:t>Un développement qui ne fragilise pas l</w:t>
      </w:r>
      <w:r w:rsidR="00604700">
        <w:rPr>
          <w:rFonts w:ascii="Helvetica" w:eastAsia="Times New Roman" w:hAnsi="Helvetica"/>
          <w:b/>
          <w:sz w:val="28"/>
          <w:szCs w:val="28"/>
        </w:rPr>
        <w:t xml:space="preserve">es activités agricoles du territoire, respecte les espaces naturels essentiels à l’équilibre du territoire et préserve la </w:t>
      </w:r>
      <w:r>
        <w:rPr>
          <w:rFonts w:ascii="Helvetica" w:eastAsia="Times New Roman" w:hAnsi="Helvetica"/>
          <w:b/>
          <w:sz w:val="28"/>
          <w:szCs w:val="28"/>
        </w:rPr>
        <w:t>qualité paysagère et environnementale</w:t>
      </w:r>
    </w:p>
    <w:p w14:paraId="196935FB" w14:textId="77777777" w:rsidR="00B34C3B" w:rsidRPr="0022370A" w:rsidRDefault="00B34C3B" w:rsidP="0022370A">
      <w:pPr>
        <w:widowControl w:val="0"/>
        <w:autoSpaceDE w:val="0"/>
        <w:rPr>
          <w:rFonts w:ascii="Helvetica" w:eastAsia="Times New Roman" w:hAnsi="Helvetica"/>
          <w:szCs w:val="20"/>
        </w:rPr>
      </w:pPr>
    </w:p>
    <w:p w14:paraId="74488F42" w14:textId="4CC797B7" w:rsidR="00A95D27" w:rsidRDefault="00604700" w:rsidP="008F3BEE">
      <w:pPr>
        <w:jc w:val="both"/>
        <w:rPr>
          <w:rFonts w:ascii="Calibri" w:eastAsia="Times New Roman" w:hAnsi="Calibri" w:cs="Calibri"/>
          <w:bCs/>
          <w:color w:val="000000"/>
          <w:sz w:val="28"/>
          <w:szCs w:val="28"/>
        </w:rPr>
      </w:pPr>
      <w:r>
        <w:rPr>
          <w:rFonts w:ascii="Calibri" w:eastAsia="Times New Roman" w:hAnsi="Calibri" w:cs="Calibri"/>
          <w:bCs/>
          <w:color w:val="000000"/>
          <w:sz w:val="28"/>
          <w:szCs w:val="28"/>
        </w:rPr>
        <w:t xml:space="preserve">La méthanisation peut effectivement et sous des formes très diversifiées </w:t>
      </w:r>
      <w:proofErr w:type="gramStart"/>
      <w:r>
        <w:rPr>
          <w:rFonts w:ascii="Calibri" w:eastAsia="Times New Roman" w:hAnsi="Calibri" w:cs="Calibri"/>
          <w:bCs/>
          <w:color w:val="000000"/>
          <w:sz w:val="28"/>
          <w:szCs w:val="28"/>
        </w:rPr>
        <w:t>( tant</w:t>
      </w:r>
      <w:proofErr w:type="gramEnd"/>
      <w:r>
        <w:rPr>
          <w:rFonts w:ascii="Calibri" w:eastAsia="Times New Roman" w:hAnsi="Calibri" w:cs="Calibri"/>
          <w:bCs/>
          <w:color w:val="000000"/>
          <w:sz w:val="28"/>
          <w:szCs w:val="28"/>
        </w:rPr>
        <w:t xml:space="preserve"> en terme d’échelle que de nature et de portage économique)</w:t>
      </w:r>
      <w:r w:rsidR="00BC4B28">
        <w:rPr>
          <w:rFonts w:ascii="Calibri" w:eastAsia="Times New Roman" w:hAnsi="Calibri" w:cs="Calibri"/>
          <w:bCs/>
          <w:color w:val="000000"/>
          <w:sz w:val="28"/>
          <w:szCs w:val="28"/>
        </w:rPr>
        <w:t xml:space="preserve"> </w:t>
      </w:r>
      <w:r w:rsidR="00591A4B">
        <w:rPr>
          <w:rFonts w:ascii="Calibri" w:eastAsia="Times New Roman" w:hAnsi="Calibri" w:cs="Calibri"/>
          <w:bCs/>
          <w:color w:val="000000"/>
          <w:sz w:val="28"/>
          <w:szCs w:val="28"/>
        </w:rPr>
        <w:t>enrichir le mixte énergétique développé</w:t>
      </w:r>
      <w:r w:rsidR="00B227F1">
        <w:rPr>
          <w:rFonts w:ascii="Calibri" w:eastAsia="Times New Roman" w:hAnsi="Calibri" w:cs="Calibri"/>
          <w:bCs/>
          <w:color w:val="000000"/>
          <w:sz w:val="28"/>
          <w:szCs w:val="28"/>
        </w:rPr>
        <w:t xml:space="preserve"> </w:t>
      </w:r>
      <w:r w:rsidR="00591A4B">
        <w:rPr>
          <w:rFonts w:ascii="Calibri" w:eastAsia="Times New Roman" w:hAnsi="Calibri" w:cs="Calibri"/>
          <w:bCs/>
          <w:color w:val="000000"/>
          <w:sz w:val="28"/>
          <w:szCs w:val="28"/>
        </w:rPr>
        <w:t>sur un Parc</w:t>
      </w:r>
      <w:r w:rsidR="00B227F1">
        <w:rPr>
          <w:rFonts w:ascii="Calibri" w:eastAsia="Times New Roman" w:hAnsi="Calibri" w:cs="Calibri"/>
          <w:bCs/>
          <w:color w:val="000000"/>
          <w:sz w:val="28"/>
          <w:szCs w:val="28"/>
        </w:rPr>
        <w:t>.</w:t>
      </w:r>
      <w:r w:rsidR="00591A4B">
        <w:rPr>
          <w:rFonts w:ascii="Calibri" w:eastAsia="Times New Roman" w:hAnsi="Calibri" w:cs="Calibri"/>
          <w:bCs/>
          <w:color w:val="000000"/>
          <w:sz w:val="28"/>
          <w:szCs w:val="28"/>
        </w:rPr>
        <w:t xml:space="preserve"> </w:t>
      </w:r>
      <w:r>
        <w:rPr>
          <w:rFonts w:ascii="Calibri" w:eastAsia="Times New Roman" w:hAnsi="Calibri" w:cs="Calibri"/>
          <w:bCs/>
          <w:color w:val="000000"/>
          <w:sz w:val="28"/>
          <w:szCs w:val="28"/>
        </w:rPr>
        <w:t xml:space="preserve"> </w:t>
      </w:r>
      <w:r w:rsidR="00F65365" w:rsidRPr="00604700">
        <w:rPr>
          <w:rFonts w:ascii="Calibri" w:eastAsia="Times New Roman" w:hAnsi="Calibri" w:cs="Calibri"/>
          <w:bCs/>
          <w:color w:val="000000"/>
          <w:sz w:val="28"/>
          <w:szCs w:val="28"/>
        </w:rPr>
        <w:t xml:space="preserve">Une méthanisation qui s’appuie sur les </w:t>
      </w:r>
      <w:r w:rsidR="00F65365" w:rsidRPr="00B227F1">
        <w:rPr>
          <w:rFonts w:ascii="Calibri" w:eastAsia="Times New Roman" w:hAnsi="Calibri" w:cs="Calibri"/>
          <w:b/>
          <w:color w:val="000000"/>
          <w:sz w:val="28"/>
          <w:szCs w:val="28"/>
        </w:rPr>
        <w:t>stratégies agricoles</w:t>
      </w:r>
      <w:r w:rsidR="00F65365" w:rsidRPr="00604700">
        <w:rPr>
          <w:rFonts w:ascii="Calibri" w:eastAsia="Times New Roman" w:hAnsi="Calibri" w:cs="Calibri"/>
          <w:bCs/>
          <w:color w:val="000000"/>
          <w:sz w:val="28"/>
          <w:szCs w:val="28"/>
        </w:rPr>
        <w:t xml:space="preserve"> développées dans les Parcs et qui ne se substitue pas à l’activité existante</w:t>
      </w:r>
      <w:r w:rsidR="00A77D6C" w:rsidRPr="00604700">
        <w:rPr>
          <w:rFonts w:ascii="Calibri" w:eastAsia="Times New Roman" w:hAnsi="Calibri" w:cs="Calibri"/>
          <w:bCs/>
          <w:color w:val="000000"/>
          <w:sz w:val="28"/>
          <w:szCs w:val="28"/>
        </w:rPr>
        <w:t xml:space="preserve"> mais vient en complément</w:t>
      </w:r>
      <w:r w:rsidR="00BC4B28">
        <w:rPr>
          <w:rFonts w:ascii="Calibri" w:eastAsia="Times New Roman" w:hAnsi="Calibri" w:cs="Calibri"/>
          <w:bCs/>
          <w:color w:val="000000"/>
          <w:sz w:val="28"/>
          <w:szCs w:val="28"/>
        </w:rPr>
        <w:t xml:space="preserve"> de l’activité, valorise un déchet produit par la production agricole ou forestière déjà en place peut constituer une opportunité pour les acteurs économique et le territoire du parc concerné.</w:t>
      </w:r>
    </w:p>
    <w:p w14:paraId="1DCDBC23" w14:textId="78B75258" w:rsidR="008F3BEE" w:rsidRDefault="008F3BEE" w:rsidP="008F3BEE">
      <w:pPr>
        <w:jc w:val="both"/>
        <w:rPr>
          <w:rFonts w:ascii="Calibri" w:eastAsia="Times New Roman" w:hAnsi="Calibri" w:cs="Calibri"/>
          <w:bCs/>
          <w:color w:val="000000"/>
          <w:sz w:val="28"/>
          <w:szCs w:val="28"/>
        </w:rPr>
      </w:pPr>
    </w:p>
    <w:p w14:paraId="2BDEECAF" w14:textId="3DEAA87F" w:rsidR="008F3BEE" w:rsidRDefault="008F3BEE" w:rsidP="008F3BEE">
      <w:pPr>
        <w:jc w:val="both"/>
        <w:rPr>
          <w:rFonts w:ascii="Calibri" w:eastAsia="Times New Roman" w:hAnsi="Calibri" w:cs="Calibri"/>
          <w:bCs/>
          <w:color w:val="000000"/>
          <w:sz w:val="28"/>
          <w:szCs w:val="28"/>
        </w:rPr>
      </w:pPr>
      <w:r>
        <w:rPr>
          <w:rFonts w:ascii="Calibri" w:eastAsia="Times New Roman" w:hAnsi="Calibri" w:cs="Calibri"/>
          <w:bCs/>
          <w:color w:val="000000"/>
          <w:sz w:val="28"/>
          <w:szCs w:val="28"/>
        </w:rPr>
        <w:t xml:space="preserve">En matière d’intégration de cette production, une attention particulière en relation avec les missions fondatrices des Parcs sera à inscrire dans les projets sur </w:t>
      </w:r>
      <w:r w:rsidR="00B227F1">
        <w:rPr>
          <w:rFonts w:ascii="Calibri" w:eastAsia="Times New Roman" w:hAnsi="Calibri" w:cs="Calibri"/>
          <w:bCs/>
          <w:color w:val="000000"/>
          <w:sz w:val="28"/>
          <w:szCs w:val="28"/>
        </w:rPr>
        <w:t xml:space="preserve">la </w:t>
      </w:r>
      <w:r w:rsidR="00B227F1" w:rsidRPr="00B227F1">
        <w:rPr>
          <w:rFonts w:ascii="Calibri" w:eastAsia="Times New Roman" w:hAnsi="Calibri" w:cs="Calibri"/>
          <w:b/>
          <w:color w:val="000000"/>
          <w:sz w:val="28"/>
          <w:szCs w:val="28"/>
        </w:rPr>
        <w:t>dimension paysagère</w:t>
      </w:r>
      <w:r w:rsidR="00B227F1">
        <w:rPr>
          <w:rFonts w:ascii="Calibri" w:eastAsia="Times New Roman" w:hAnsi="Calibri" w:cs="Calibri"/>
          <w:bCs/>
          <w:color w:val="000000"/>
          <w:sz w:val="28"/>
          <w:szCs w:val="28"/>
        </w:rPr>
        <w:t>. Les infrastructures (production, stockage) devront être le plus intégrées au cadre paysager et pourront pour cela s’appuyer sur les nombreux outils et guides produits sur ces sujets par les Parcs. Cette intégration paysagère sera également pour les porteurs de projet une opportunité de favoriser l’acceptabilité des projets et d’être en cohérence avec les enjeux du développement durable.</w:t>
      </w:r>
    </w:p>
    <w:p w14:paraId="6E4EF5D0" w14:textId="6639190F" w:rsidR="00B227F1" w:rsidRDefault="00B227F1" w:rsidP="008F3BEE">
      <w:pPr>
        <w:jc w:val="both"/>
        <w:rPr>
          <w:rFonts w:ascii="Calibri" w:eastAsia="Times New Roman" w:hAnsi="Calibri" w:cs="Calibri"/>
          <w:bCs/>
          <w:color w:val="000000"/>
          <w:sz w:val="28"/>
          <w:szCs w:val="28"/>
        </w:rPr>
      </w:pPr>
    </w:p>
    <w:p w14:paraId="37832EE3" w14:textId="0CA0F94D" w:rsidR="00B227F1" w:rsidRDefault="00B227F1" w:rsidP="008F3BEE">
      <w:pPr>
        <w:jc w:val="both"/>
        <w:rPr>
          <w:rFonts w:ascii="Calibri" w:eastAsia="Times New Roman" w:hAnsi="Calibri" w:cs="Calibri"/>
          <w:bCs/>
          <w:color w:val="000000"/>
          <w:sz w:val="28"/>
          <w:szCs w:val="28"/>
        </w:rPr>
      </w:pPr>
      <w:r>
        <w:rPr>
          <w:rFonts w:ascii="Calibri" w:eastAsia="Times New Roman" w:hAnsi="Calibri" w:cs="Calibri"/>
          <w:bCs/>
          <w:color w:val="000000"/>
          <w:sz w:val="28"/>
          <w:szCs w:val="28"/>
        </w:rPr>
        <w:t>Dans un contexte de fragilisation de la biodiversité à l’échelle mondiale, il est d’autant plus important que le développement de projets de méthanisation sur les périmètres des Parcs intègre le plus en amont possible la préservation des milieux et des espèces. Non introduction de production exogène, préservation des prairies et des systèmes</w:t>
      </w:r>
      <w:r w:rsidRPr="00B227F1">
        <w:rPr>
          <w:rFonts w:ascii="Calibri" w:eastAsia="Times New Roman" w:hAnsi="Calibri" w:cs="Calibri"/>
          <w:bCs/>
          <w:i/>
          <w:iCs/>
          <w:color w:val="000000"/>
          <w:sz w:val="28"/>
          <w:szCs w:val="28"/>
        </w:rPr>
        <w:t xml:space="preserve"> </w:t>
      </w:r>
      <w:r w:rsidRPr="00B227F1">
        <w:rPr>
          <w:rFonts w:ascii="Calibri" w:eastAsia="Times New Roman" w:hAnsi="Calibri" w:cs="Calibri"/>
          <w:bCs/>
          <w:i/>
          <w:iCs/>
          <w:color w:val="FF0000"/>
          <w:sz w:val="28"/>
          <w:szCs w:val="28"/>
        </w:rPr>
        <w:t>hydrauliques</w:t>
      </w:r>
      <w:r>
        <w:rPr>
          <w:rFonts w:ascii="Calibri" w:eastAsia="Times New Roman" w:hAnsi="Calibri" w:cs="Calibri"/>
          <w:bCs/>
          <w:color w:val="000000"/>
          <w:sz w:val="28"/>
          <w:szCs w:val="28"/>
        </w:rPr>
        <w:t xml:space="preserve"> du territoire, identification des enjeux biodiversité sur les parcelles concernées sont un impératif pour la réussite d’un projet et son intégration au territoire. </w:t>
      </w:r>
    </w:p>
    <w:p w14:paraId="1688C7CE" w14:textId="1865F298" w:rsidR="00A5454B" w:rsidRDefault="00A5454B" w:rsidP="008F3BEE">
      <w:pPr>
        <w:jc w:val="both"/>
        <w:rPr>
          <w:rFonts w:ascii="Calibri" w:eastAsia="Times New Roman" w:hAnsi="Calibri" w:cs="Calibri"/>
          <w:bCs/>
          <w:color w:val="000000"/>
          <w:sz w:val="28"/>
          <w:szCs w:val="28"/>
        </w:rPr>
      </w:pPr>
    </w:p>
    <w:p w14:paraId="1A187302" w14:textId="22C4ABBF" w:rsidR="00A5454B" w:rsidRDefault="003D0C0B" w:rsidP="008F3BEE">
      <w:pPr>
        <w:jc w:val="both"/>
        <w:rPr>
          <w:rFonts w:ascii="Calibri" w:eastAsia="Times New Roman" w:hAnsi="Calibri" w:cs="Calibri"/>
          <w:bCs/>
          <w:color w:val="000000"/>
          <w:sz w:val="28"/>
          <w:szCs w:val="28"/>
        </w:rPr>
      </w:pPr>
      <w:r>
        <w:rPr>
          <w:rFonts w:ascii="Calibri" w:eastAsia="Times New Roman" w:hAnsi="Calibri" w:cs="Calibri"/>
          <w:bCs/>
          <w:color w:val="000000"/>
          <w:sz w:val="28"/>
          <w:szCs w:val="28"/>
        </w:rPr>
        <w:t xml:space="preserve">Enfin, au-delà de l’installation elle-même, il est essentiel de mesurer les impacts </w:t>
      </w:r>
      <w:proofErr w:type="gramStart"/>
      <w:r>
        <w:rPr>
          <w:rFonts w:ascii="Calibri" w:eastAsia="Times New Roman" w:hAnsi="Calibri" w:cs="Calibri"/>
          <w:bCs/>
          <w:color w:val="000000"/>
          <w:sz w:val="28"/>
          <w:szCs w:val="28"/>
        </w:rPr>
        <w:t>en terme de</w:t>
      </w:r>
      <w:proofErr w:type="gramEnd"/>
      <w:r>
        <w:rPr>
          <w:rFonts w:ascii="Calibri" w:eastAsia="Times New Roman" w:hAnsi="Calibri" w:cs="Calibri"/>
          <w:bCs/>
          <w:color w:val="000000"/>
          <w:sz w:val="28"/>
          <w:szCs w:val="28"/>
        </w:rPr>
        <w:t xml:space="preserve"> circulation (acheminement de matières premières, évacuation des digestats, diffusion des énergies produites) et d’y reprendre les éléments de vigilance traités préalablement.</w:t>
      </w:r>
    </w:p>
    <w:p w14:paraId="518A3432" w14:textId="3E014D29" w:rsidR="00B227F1" w:rsidRDefault="00B227F1" w:rsidP="008F3BEE">
      <w:pPr>
        <w:jc w:val="both"/>
        <w:rPr>
          <w:rFonts w:ascii="Calibri" w:eastAsia="Times New Roman" w:hAnsi="Calibri" w:cs="Calibri"/>
          <w:bCs/>
          <w:color w:val="000000"/>
          <w:sz w:val="28"/>
          <w:szCs w:val="28"/>
        </w:rPr>
      </w:pPr>
    </w:p>
    <w:p w14:paraId="52FA066B" w14:textId="211658FE" w:rsidR="00B227F1" w:rsidRPr="00604700" w:rsidRDefault="003D0C0B" w:rsidP="003D0C0B">
      <w:pPr>
        <w:pBdr>
          <w:top w:val="single" w:sz="4" w:space="1" w:color="auto"/>
          <w:left w:val="single" w:sz="4" w:space="4" w:color="auto"/>
          <w:bottom w:val="single" w:sz="4" w:space="1" w:color="auto"/>
          <w:right w:val="single" w:sz="4" w:space="4" w:color="auto"/>
        </w:pBdr>
        <w:jc w:val="both"/>
        <w:rPr>
          <w:rFonts w:ascii="Calibri" w:eastAsia="Times New Roman" w:hAnsi="Calibri" w:cs="Calibri"/>
          <w:bCs/>
          <w:color w:val="000000"/>
          <w:sz w:val="28"/>
          <w:szCs w:val="28"/>
        </w:rPr>
      </w:pPr>
      <w:r w:rsidRPr="003D0C0B">
        <w:rPr>
          <w:rFonts w:ascii="Calibri" w:eastAsia="Times New Roman" w:hAnsi="Calibri" w:cs="Calibri"/>
          <w:b/>
          <w:color w:val="000000"/>
          <w:sz w:val="28"/>
          <w:szCs w:val="28"/>
        </w:rPr>
        <w:lastRenderedPageBreak/>
        <w:t>Les digestats :</w:t>
      </w:r>
      <w:r>
        <w:rPr>
          <w:rFonts w:ascii="Calibri" w:eastAsia="Times New Roman" w:hAnsi="Calibri" w:cs="Calibri"/>
          <w:bCs/>
          <w:color w:val="000000"/>
          <w:sz w:val="28"/>
          <w:szCs w:val="28"/>
        </w:rPr>
        <w:t xml:space="preserve"> la commission Agriculture et Alimentation de la Fédération a produit un document traitant de la question des digestats (volume, cadre d’épandage, etc.) annexé à cette note.</w:t>
      </w:r>
    </w:p>
    <w:p w14:paraId="1EACD635" w14:textId="77777777" w:rsidR="00A95D27" w:rsidRDefault="00A95D27" w:rsidP="00A95D27">
      <w:pPr>
        <w:rPr>
          <w:rFonts w:ascii="Calibri" w:eastAsia="Times New Roman" w:hAnsi="Calibri" w:cs="Calibri"/>
          <w:color w:val="000000"/>
          <w:sz w:val="24"/>
        </w:rPr>
      </w:pPr>
    </w:p>
    <w:p w14:paraId="7815C0A7" w14:textId="5B7EDDF0" w:rsidR="00A729F0" w:rsidRPr="00740BFF" w:rsidRDefault="00A729F0" w:rsidP="00A729F0">
      <w:pPr>
        <w:spacing w:before="100" w:beforeAutospacing="1" w:after="100" w:afterAutospacing="1"/>
        <w:jc w:val="both"/>
        <w:rPr>
          <w:rFonts w:ascii="Helvetica" w:eastAsia="Times New Roman" w:hAnsi="Helvetica"/>
          <w:b/>
          <w:sz w:val="24"/>
        </w:rPr>
      </w:pPr>
      <w:r w:rsidRPr="00740BFF">
        <w:rPr>
          <w:rFonts w:ascii="Helvetica" w:eastAsia="Times New Roman" w:hAnsi="Helvetica"/>
          <w:b/>
          <w:sz w:val="24"/>
        </w:rPr>
        <w:t xml:space="preserve">C’est dans ce cadre de conception du développement territorial </w:t>
      </w:r>
      <w:r>
        <w:rPr>
          <w:rFonts w:ascii="Helvetica" w:eastAsia="Times New Roman" w:hAnsi="Helvetica"/>
          <w:b/>
          <w:sz w:val="24"/>
        </w:rPr>
        <w:t>de la méthanisation</w:t>
      </w:r>
      <w:r w:rsidRPr="00740BFF">
        <w:rPr>
          <w:rFonts w:ascii="Helvetica" w:eastAsia="Times New Roman" w:hAnsi="Helvetica"/>
          <w:b/>
          <w:sz w:val="24"/>
        </w:rPr>
        <w:t xml:space="preserve"> que la Fédération des Parc naturels régionaux formule un ensemble de demandes aux acteurs concernés : </w:t>
      </w:r>
    </w:p>
    <w:p w14:paraId="758CB137" w14:textId="530563CA" w:rsidR="00A729F0" w:rsidRPr="00740BFF" w:rsidRDefault="00A729F0" w:rsidP="00A729F0">
      <w:pPr>
        <w:rPr>
          <w:rFonts w:ascii="Calibri" w:eastAsia="Times New Roman" w:hAnsi="Calibri" w:cs="Calibri"/>
          <w:b/>
          <w:color w:val="000000"/>
          <w:sz w:val="24"/>
        </w:rPr>
      </w:pPr>
      <w:r w:rsidRPr="00740BFF">
        <w:rPr>
          <w:rFonts w:ascii="Calibri" w:eastAsia="Times New Roman" w:hAnsi="Calibri" w:cs="Calibri"/>
          <w:b/>
          <w:color w:val="000000"/>
          <w:sz w:val="24"/>
        </w:rPr>
        <w:t xml:space="preserve">Des développeurs de projets </w:t>
      </w:r>
      <w:r>
        <w:rPr>
          <w:rFonts w:ascii="Calibri" w:eastAsia="Times New Roman" w:hAnsi="Calibri" w:cs="Calibri"/>
          <w:b/>
          <w:color w:val="000000"/>
          <w:sz w:val="24"/>
        </w:rPr>
        <w:t>de méthanisation</w:t>
      </w:r>
      <w:r w:rsidRPr="00740BFF">
        <w:rPr>
          <w:rFonts w:ascii="Calibri" w:eastAsia="Times New Roman" w:hAnsi="Calibri" w:cs="Calibri"/>
          <w:b/>
          <w:color w:val="000000"/>
          <w:sz w:val="24"/>
        </w:rPr>
        <w:t xml:space="preserve"> en phase avec le territoire</w:t>
      </w:r>
    </w:p>
    <w:p w14:paraId="31777036" w14:textId="77777777" w:rsidR="00A729F0" w:rsidRPr="00472EFA" w:rsidRDefault="00A729F0" w:rsidP="00A729F0">
      <w:pPr>
        <w:widowControl w:val="0"/>
        <w:tabs>
          <w:tab w:val="left" w:pos="477"/>
          <w:tab w:val="left" w:pos="545"/>
        </w:tabs>
        <w:autoSpaceDE w:val="0"/>
        <w:spacing w:before="100" w:beforeAutospacing="1" w:after="100" w:afterAutospacing="1"/>
        <w:jc w:val="both"/>
        <w:rPr>
          <w:rFonts w:ascii="Helvetica" w:eastAsia="Lucida Sans Unicode" w:hAnsi="Helvetica" w:cs="Tahoma"/>
          <w:szCs w:val="20"/>
          <w:lang/>
        </w:rPr>
      </w:pPr>
      <w:r w:rsidRPr="00472EFA">
        <w:rPr>
          <w:rFonts w:ascii="Calibri" w:eastAsia="Times New Roman" w:hAnsi="Calibri" w:cs="Calibri"/>
          <w:color w:val="000000"/>
          <w:sz w:val="24"/>
        </w:rPr>
        <w:t>Les développeurs doivent le plus en amont possible et après consultation des documents de positionnement et d’analyse du territoire prendre contact avec le syndicat mixte du Parc, les collectivités concernées pour favoriser un projet intégré.</w:t>
      </w:r>
      <w:r w:rsidRPr="00472EFA">
        <w:rPr>
          <w:rFonts w:ascii="Helvetica" w:eastAsia="Lucida Sans Unicode" w:hAnsi="Helvetica" w:cs="Tahoma"/>
          <w:szCs w:val="20"/>
          <w:lang/>
        </w:rPr>
        <w:t xml:space="preserve"> </w:t>
      </w:r>
    </w:p>
    <w:p w14:paraId="4E188A61" w14:textId="77777777" w:rsidR="00A729F0" w:rsidRDefault="00A729F0" w:rsidP="00A729F0">
      <w:pPr>
        <w:widowControl w:val="0"/>
        <w:tabs>
          <w:tab w:val="left" w:pos="477"/>
          <w:tab w:val="left" w:pos="545"/>
        </w:tabs>
        <w:autoSpaceDE w:val="0"/>
        <w:spacing w:before="100" w:beforeAutospacing="1" w:after="100" w:afterAutospacing="1"/>
        <w:jc w:val="both"/>
        <w:rPr>
          <w:rFonts w:ascii="Helvetica" w:eastAsia="Lucida Sans Unicode" w:hAnsi="Helvetica" w:cs="Tahoma"/>
          <w:szCs w:val="20"/>
          <w:lang/>
        </w:rPr>
      </w:pPr>
      <w:r>
        <w:rPr>
          <w:rFonts w:ascii="Helvetica" w:eastAsia="Lucida Sans Unicode" w:hAnsi="Helvetica" w:cs="Tahoma"/>
          <w:szCs w:val="20"/>
          <w:lang/>
        </w:rPr>
        <w:t>Les porteurs de projets comme les autorités compétentes qui en accompagnent l’évaluation, doivent notamment être particulièrement vigilants aux dimensions paysagères et environnementales qui constituent les fondements du territoire classé. La consultation des documents et des échanges en amont avec les collectivités et les acteurs du périmètre d’implantation assurera une plus grande acceptabilité du projet. C’est par ce biais que le Parc naturel régional pourra apporter sa contribution à l’analyse du projet et faciliter ainsi un engagement dans la transition réussi.</w:t>
      </w:r>
    </w:p>
    <w:p w14:paraId="1E817F03" w14:textId="667E7E4D" w:rsidR="00A729F0" w:rsidRDefault="00A729F0" w:rsidP="00A729F0">
      <w:pPr>
        <w:widowControl w:val="0"/>
        <w:tabs>
          <w:tab w:val="left" w:pos="477"/>
          <w:tab w:val="left" w:pos="545"/>
        </w:tabs>
        <w:autoSpaceDE w:val="0"/>
        <w:spacing w:before="100" w:beforeAutospacing="1" w:after="100" w:afterAutospacing="1"/>
        <w:jc w:val="both"/>
        <w:rPr>
          <w:rFonts w:ascii="Helvetica" w:eastAsia="Lucida Sans Unicode" w:hAnsi="Helvetica" w:cs="Tahoma"/>
          <w:szCs w:val="20"/>
          <w:lang/>
        </w:rPr>
      </w:pPr>
      <w:r>
        <w:rPr>
          <w:rFonts w:ascii="Helvetica" w:eastAsia="Lucida Sans Unicode" w:hAnsi="Helvetica" w:cs="Tahoma"/>
          <w:szCs w:val="20"/>
          <w:lang/>
        </w:rPr>
        <w:t xml:space="preserve">La Fédération </w:t>
      </w:r>
      <w:r>
        <w:rPr>
          <w:rFonts w:ascii="Helvetica" w:eastAsia="Lucida Sans Unicode" w:hAnsi="Helvetica" w:cs="Tahoma"/>
          <w:szCs w:val="20"/>
          <w:lang/>
        </w:rPr>
        <w:t>demande</w:t>
      </w:r>
      <w:r>
        <w:rPr>
          <w:rFonts w:ascii="Helvetica" w:eastAsia="Lucida Sans Unicode" w:hAnsi="Helvetica" w:cs="Tahoma"/>
          <w:szCs w:val="20"/>
          <w:lang/>
        </w:rPr>
        <w:t xml:space="preserve"> que les </w:t>
      </w:r>
      <w:r w:rsidRPr="00472EFA">
        <w:rPr>
          <w:rFonts w:ascii="Helvetica" w:eastAsia="Lucida Sans Unicode" w:hAnsi="Helvetica" w:cs="Tahoma"/>
          <w:szCs w:val="20"/>
          <w:lang/>
        </w:rPr>
        <w:t xml:space="preserve">projets </w:t>
      </w:r>
      <w:r>
        <w:rPr>
          <w:rFonts w:ascii="Helvetica" w:eastAsia="Lucida Sans Unicode" w:hAnsi="Helvetica" w:cs="Tahoma"/>
          <w:szCs w:val="20"/>
          <w:lang/>
        </w:rPr>
        <w:t xml:space="preserve">puissent intégrer </w:t>
      </w:r>
      <w:r w:rsidRPr="00472EFA">
        <w:rPr>
          <w:rFonts w:ascii="Helvetica" w:eastAsia="Lucida Sans Unicode" w:hAnsi="Helvetica" w:cs="Tahoma"/>
          <w:szCs w:val="20"/>
          <w:lang/>
        </w:rPr>
        <w:t>les attentes du territoire, et dont le capit</w:t>
      </w:r>
      <w:r>
        <w:rPr>
          <w:rFonts w:ascii="Helvetica" w:eastAsia="Lucida Sans Unicode" w:hAnsi="Helvetica" w:cs="Tahoma"/>
          <w:szCs w:val="20"/>
          <w:lang/>
        </w:rPr>
        <w:t>al comme la gouvernance puissent</w:t>
      </w:r>
      <w:r w:rsidRPr="00472EFA">
        <w:rPr>
          <w:rFonts w:ascii="Helvetica" w:eastAsia="Lucida Sans Unicode" w:hAnsi="Helvetica" w:cs="Tahoma"/>
          <w:szCs w:val="20"/>
          <w:lang/>
        </w:rPr>
        <w:t xml:space="preserve"> s’ouvrir à la participation locale. Cela allant dans le sens et l’esprit des récents textes règlementaires sur le développement des énergies renouvelables. Associé à la dimension cycle de vie, cette dimension participative des projets devra être un des éléments d’appréciation des services qui instruisent les demandes.</w:t>
      </w:r>
    </w:p>
    <w:p w14:paraId="68F24C69" w14:textId="37BAC6BB" w:rsidR="00A729F0" w:rsidRDefault="00A729F0" w:rsidP="00A729F0">
      <w:pPr>
        <w:widowControl w:val="0"/>
        <w:tabs>
          <w:tab w:val="left" w:pos="477"/>
          <w:tab w:val="left" w:pos="545"/>
        </w:tabs>
        <w:autoSpaceDE w:val="0"/>
        <w:spacing w:before="100" w:beforeAutospacing="1" w:after="100" w:afterAutospacing="1"/>
        <w:jc w:val="both"/>
        <w:rPr>
          <w:rFonts w:ascii="Helvetica" w:eastAsia="Lucida Sans Unicode" w:hAnsi="Helvetica" w:cs="Tahoma"/>
          <w:szCs w:val="20"/>
          <w:lang/>
        </w:rPr>
      </w:pPr>
      <w:r>
        <w:rPr>
          <w:rFonts w:ascii="Helvetica" w:eastAsia="Lucida Sans Unicode" w:hAnsi="Helvetica" w:cs="Tahoma"/>
          <w:szCs w:val="20"/>
          <w:lang/>
        </w:rPr>
        <w:t>La cohérence avec les stratégies agricoles et forestière du territoire sera particulièrement examinée tout comme la réflexion sur le devenir des digestats produits.</w:t>
      </w:r>
    </w:p>
    <w:p w14:paraId="326A4C6F" w14:textId="77777777" w:rsidR="00A729F0" w:rsidRPr="00740BFF" w:rsidRDefault="00A729F0" w:rsidP="00A729F0">
      <w:pPr>
        <w:rPr>
          <w:rFonts w:ascii="Calibri" w:eastAsia="Times New Roman" w:hAnsi="Calibri" w:cs="Calibri"/>
          <w:b/>
          <w:color w:val="000000"/>
          <w:sz w:val="24"/>
        </w:rPr>
      </w:pPr>
      <w:r w:rsidRPr="00740BFF">
        <w:rPr>
          <w:rFonts w:ascii="Calibri" w:eastAsia="Times New Roman" w:hAnsi="Calibri" w:cs="Calibri"/>
          <w:b/>
          <w:color w:val="000000"/>
          <w:sz w:val="24"/>
        </w:rPr>
        <w:t>Un État garant de la charte et de ses engagements auprès des Parcs</w:t>
      </w:r>
    </w:p>
    <w:p w14:paraId="33031491" w14:textId="77777777" w:rsidR="00A729F0" w:rsidRPr="00DE468D" w:rsidRDefault="00A729F0" w:rsidP="00A729F0">
      <w:pPr>
        <w:widowControl w:val="0"/>
        <w:autoSpaceDE w:val="0"/>
        <w:spacing w:before="100" w:beforeAutospacing="1" w:after="100" w:afterAutospacing="1"/>
        <w:jc w:val="both"/>
        <w:rPr>
          <w:rFonts w:ascii="Helvetica" w:eastAsia="Times New Roman" w:hAnsi="Helvetica"/>
          <w:szCs w:val="20"/>
        </w:rPr>
      </w:pPr>
      <w:r w:rsidRPr="00DE468D">
        <w:rPr>
          <w:rFonts w:ascii="Helvetica" w:eastAsia="Times New Roman" w:hAnsi="Helvetica"/>
          <w:szCs w:val="20"/>
        </w:rPr>
        <w:t>La Fédération demande, dans le cadre de la nécessaire mise en cohérence des politiques publiques, que soient systématiquement pris en compte les orientations et analyses inscrites dans la Charte du Parc concerné et dans les documents d’orientations portés par le Parc et ses partenaires. L’État, cosignataire de la charte en est l’un des premiers garant.</w:t>
      </w:r>
      <w:r>
        <w:rPr>
          <w:rFonts w:ascii="Helvetica" w:eastAsia="Times New Roman" w:hAnsi="Helvetica"/>
          <w:szCs w:val="20"/>
        </w:rPr>
        <w:t xml:space="preserve"> La mise en application des objectifs issus du classement est inscrite dans le code de l’environnement.</w:t>
      </w:r>
    </w:p>
    <w:p w14:paraId="1838DB24" w14:textId="43D46F79" w:rsidR="00A729F0" w:rsidRDefault="00A729F0" w:rsidP="00A729F0">
      <w:pPr>
        <w:widowControl w:val="0"/>
        <w:autoSpaceDE w:val="0"/>
        <w:jc w:val="both"/>
        <w:rPr>
          <w:rFonts w:ascii="Helvetica" w:eastAsia="Times New Roman" w:hAnsi="Helvetica"/>
          <w:b/>
          <w:szCs w:val="20"/>
        </w:rPr>
      </w:pPr>
      <w:r w:rsidRPr="00DE468D">
        <w:rPr>
          <w:rFonts w:ascii="Helvetica" w:eastAsia="Times New Roman" w:hAnsi="Helvetica"/>
          <w:szCs w:val="20"/>
        </w:rPr>
        <w:t xml:space="preserve">Au regard de cette obligation de mise en cohérence, la Fédération demande </w:t>
      </w:r>
      <w:r>
        <w:rPr>
          <w:rFonts w:ascii="Helvetica" w:eastAsia="Times New Roman" w:hAnsi="Helvetica"/>
          <w:szCs w:val="20"/>
        </w:rPr>
        <w:t>à l’</w:t>
      </w:r>
      <w:proofErr w:type="spellStart"/>
      <w:r>
        <w:rPr>
          <w:rFonts w:ascii="Helvetica" w:eastAsia="Times New Roman" w:hAnsi="Helvetica"/>
          <w:szCs w:val="20"/>
        </w:rPr>
        <w:t>Etat</w:t>
      </w:r>
      <w:proofErr w:type="spellEnd"/>
      <w:r>
        <w:rPr>
          <w:rFonts w:ascii="Helvetica" w:eastAsia="Times New Roman" w:hAnsi="Helvetica"/>
          <w:szCs w:val="20"/>
        </w:rPr>
        <w:t xml:space="preserve"> </w:t>
      </w:r>
      <w:r w:rsidRPr="00B93703">
        <w:rPr>
          <w:rFonts w:ascii="Helvetica" w:eastAsia="Times New Roman" w:hAnsi="Helvetica"/>
          <w:b/>
          <w:szCs w:val="20"/>
        </w:rPr>
        <w:t xml:space="preserve">de garantir </w:t>
      </w:r>
      <w:r>
        <w:rPr>
          <w:rFonts w:ascii="Helvetica" w:eastAsia="Times New Roman" w:hAnsi="Helvetica"/>
          <w:b/>
          <w:szCs w:val="20"/>
        </w:rPr>
        <w:t>la</w:t>
      </w:r>
      <w:r w:rsidRPr="00B93703">
        <w:rPr>
          <w:rFonts w:ascii="Helvetica" w:eastAsia="Times New Roman" w:hAnsi="Helvetica"/>
          <w:b/>
          <w:szCs w:val="20"/>
        </w:rPr>
        <w:t xml:space="preserve"> cohérence </w:t>
      </w:r>
      <w:r>
        <w:rPr>
          <w:rFonts w:ascii="Helvetica" w:eastAsia="Times New Roman" w:hAnsi="Helvetica"/>
          <w:b/>
          <w:szCs w:val="20"/>
        </w:rPr>
        <w:t>de la</w:t>
      </w:r>
      <w:r w:rsidRPr="00B93703">
        <w:rPr>
          <w:rFonts w:ascii="Helvetica" w:eastAsia="Times New Roman" w:hAnsi="Helvetica"/>
          <w:b/>
          <w:szCs w:val="20"/>
        </w:rPr>
        <w:t xml:space="preserve"> planification</w:t>
      </w:r>
      <w:r>
        <w:rPr>
          <w:rFonts w:ascii="Helvetica" w:eastAsia="Times New Roman" w:hAnsi="Helvetica"/>
          <w:b/>
          <w:szCs w:val="20"/>
        </w:rPr>
        <w:t xml:space="preserve">, à l’instruction des dossiers jusqu’au </w:t>
      </w:r>
      <w:proofErr w:type="spellStart"/>
      <w:r>
        <w:rPr>
          <w:rFonts w:ascii="Helvetica" w:eastAsia="Times New Roman" w:hAnsi="Helvetica"/>
          <w:b/>
          <w:szCs w:val="20"/>
        </w:rPr>
        <w:t>délivrement</w:t>
      </w:r>
      <w:proofErr w:type="spellEnd"/>
      <w:r>
        <w:rPr>
          <w:rFonts w:ascii="Helvetica" w:eastAsia="Times New Roman" w:hAnsi="Helvetica"/>
          <w:b/>
          <w:szCs w:val="20"/>
        </w:rPr>
        <w:t xml:space="preserve"> des</w:t>
      </w:r>
      <w:r w:rsidRPr="00B93703">
        <w:rPr>
          <w:rFonts w:ascii="Helvetica" w:eastAsia="Times New Roman" w:hAnsi="Helvetica"/>
          <w:b/>
          <w:szCs w:val="20"/>
        </w:rPr>
        <w:t xml:space="preserve"> autorisations </w:t>
      </w:r>
      <w:r>
        <w:rPr>
          <w:rFonts w:ascii="Helvetica" w:eastAsia="Times New Roman" w:hAnsi="Helvetica"/>
          <w:b/>
          <w:szCs w:val="20"/>
        </w:rPr>
        <w:t>de</w:t>
      </w:r>
      <w:r w:rsidRPr="00B93703">
        <w:rPr>
          <w:rFonts w:ascii="Helvetica" w:eastAsia="Times New Roman" w:hAnsi="Helvetica"/>
          <w:b/>
          <w:szCs w:val="20"/>
        </w:rPr>
        <w:t xml:space="preserve"> chaque projet </w:t>
      </w:r>
      <w:r w:rsidR="000E4797">
        <w:rPr>
          <w:rFonts w:ascii="Helvetica" w:eastAsia="Times New Roman" w:hAnsi="Helvetica"/>
          <w:b/>
          <w:szCs w:val="20"/>
        </w:rPr>
        <w:t>de méthanisation</w:t>
      </w:r>
      <w:r>
        <w:rPr>
          <w:rFonts w:ascii="Helvetica" w:eastAsia="Times New Roman" w:hAnsi="Helvetica"/>
          <w:b/>
          <w:szCs w:val="20"/>
        </w:rPr>
        <w:t xml:space="preserve">, </w:t>
      </w:r>
      <w:r w:rsidRPr="00B93703">
        <w:rPr>
          <w:rFonts w:ascii="Helvetica" w:eastAsia="Times New Roman" w:hAnsi="Helvetica"/>
          <w:b/>
          <w:szCs w:val="20"/>
        </w:rPr>
        <w:t>avec la charte qui prévaut au classement en Parc naturel régional</w:t>
      </w:r>
      <w:r>
        <w:rPr>
          <w:rStyle w:val="Appelnotedebasdep"/>
          <w:rFonts w:ascii="Helvetica" w:eastAsia="Times New Roman" w:hAnsi="Helvetica"/>
          <w:b/>
          <w:szCs w:val="20"/>
        </w:rPr>
        <w:footnoteReference w:id="1"/>
      </w:r>
      <w:r w:rsidRPr="00B93703">
        <w:rPr>
          <w:rFonts w:ascii="Helvetica" w:eastAsia="Times New Roman" w:hAnsi="Helvetica"/>
          <w:b/>
          <w:szCs w:val="20"/>
        </w:rPr>
        <w:t>.</w:t>
      </w:r>
    </w:p>
    <w:p w14:paraId="583BAD19" w14:textId="77777777" w:rsidR="00A729F0" w:rsidRPr="00DE468D" w:rsidRDefault="00A729F0" w:rsidP="00A729F0">
      <w:pPr>
        <w:widowControl w:val="0"/>
        <w:tabs>
          <w:tab w:val="left" w:pos="477"/>
          <w:tab w:val="left" w:pos="545"/>
        </w:tabs>
        <w:autoSpaceDE w:val="0"/>
        <w:spacing w:before="100" w:beforeAutospacing="1" w:after="100" w:afterAutospacing="1"/>
        <w:jc w:val="both"/>
        <w:rPr>
          <w:rFonts w:ascii="Helvetica" w:eastAsia="Times New Roman" w:hAnsi="Helvetica"/>
          <w:szCs w:val="20"/>
        </w:rPr>
      </w:pPr>
      <w:r>
        <w:rPr>
          <w:rFonts w:ascii="Helvetica" w:eastAsia="Times New Roman" w:hAnsi="Helvetica"/>
          <w:szCs w:val="20"/>
        </w:rPr>
        <w:t>L’association de la structure de gestion du Parc pourra faciliter cette prise en compte.</w:t>
      </w:r>
    </w:p>
    <w:p w14:paraId="781C11E4" w14:textId="77777777" w:rsidR="000E4797" w:rsidRDefault="000E4797" w:rsidP="00A729F0">
      <w:pPr>
        <w:rPr>
          <w:rFonts w:ascii="Calibri" w:eastAsia="Times New Roman" w:hAnsi="Calibri" w:cs="Calibri"/>
          <w:b/>
          <w:color w:val="000000"/>
          <w:sz w:val="24"/>
        </w:rPr>
      </w:pPr>
    </w:p>
    <w:p w14:paraId="046C7AB1" w14:textId="47C5535E" w:rsidR="00A729F0" w:rsidRPr="00740BFF" w:rsidRDefault="00A729F0" w:rsidP="00A729F0">
      <w:pPr>
        <w:rPr>
          <w:rFonts w:ascii="Calibri" w:eastAsia="Times New Roman" w:hAnsi="Calibri" w:cs="Calibri"/>
          <w:b/>
          <w:color w:val="000000"/>
          <w:sz w:val="24"/>
        </w:rPr>
      </w:pPr>
      <w:r w:rsidRPr="00740BFF">
        <w:rPr>
          <w:rFonts w:ascii="Calibri" w:eastAsia="Times New Roman" w:hAnsi="Calibri" w:cs="Calibri"/>
          <w:b/>
          <w:color w:val="000000"/>
          <w:sz w:val="24"/>
        </w:rPr>
        <w:lastRenderedPageBreak/>
        <w:t>Des régions stratèges qui intègrent les territoires classés dans les documents d’orientations énergétique et climatique</w:t>
      </w:r>
    </w:p>
    <w:p w14:paraId="50AB8D46" w14:textId="77777777" w:rsidR="00A729F0" w:rsidRDefault="00A729F0" w:rsidP="00A729F0">
      <w:pPr>
        <w:rPr>
          <w:rFonts w:ascii="Calibri" w:eastAsia="Times New Roman" w:hAnsi="Calibri" w:cs="Calibri"/>
          <w:color w:val="000000"/>
          <w:sz w:val="24"/>
        </w:rPr>
      </w:pPr>
    </w:p>
    <w:p w14:paraId="6057A060" w14:textId="77777777" w:rsidR="00A729F0" w:rsidRDefault="00A729F0" w:rsidP="00A729F0">
      <w:pPr>
        <w:jc w:val="both"/>
        <w:rPr>
          <w:rFonts w:ascii="Helvetica" w:eastAsia="Times New Roman" w:hAnsi="Helvetica"/>
          <w:szCs w:val="20"/>
        </w:rPr>
      </w:pPr>
      <w:r w:rsidRPr="00DE468D">
        <w:rPr>
          <w:rFonts w:ascii="Helvetica" w:eastAsia="Times New Roman" w:hAnsi="Helvetica"/>
          <w:szCs w:val="20"/>
        </w:rPr>
        <w:t>La Fédération des Parc demande aux Régions, dans le cadre de leurs compétences à veiller à la prise en compte des territoires classés et de leurs projets dans leurs politiques territoriales et notamment dans l’élaboration des SRADDET</w:t>
      </w:r>
      <w:r>
        <w:rPr>
          <w:rFonts w:ascii="Helvetica" w:eastAsia="Times New Roman" w:hAnsi="Helvetica"/>
          <w:szCs w:val="20"/>
        </w:rPr>
        <w:t xml:space="preserve">. </w:t>
      </w:r>
    </w:p>
    <w:p w14:paraId="1CB07CF0" w14:textId="77777777" w:rsidR="00A729F0" w:rsidRDefault="00A729F0" w:rsidP="00A729F0">
      <w:pPr>
        <w:rPr>
          <w:rFonts w:ascii="Helvetica" w:eastAsia="Times New Roman" w:hAnsi="Helvetica"/>
          <w:szCs w:val="20"/>
        </w:rPr>
      </w:pPr>
    </w:p>
    <w:p w14:paraId="39B5B28B" w14:textId="77777777" w:rsidR="00A729F0" w:rsidRPr="00740BFF" w:rsidRDefault="00A729F0" w:rsidP="00A729F0">
      <w:pPr>
        <w:jc w:val="both"/>
        <w:rPr>
          <w:rFonts w:ascii="Helvetica" w:eastAsia="Times New Roman" w:hAnsi="Helvetica"/>
          <w:szCs w:val="22"/>
        </w:rPr>
      </w:pPr>
      <w:r w:rsidRPr="00740BFF">
        <w:rPr>
          <w:rFonts w:ascii="Helvetica" w:eastAsia="Times New Roman" w:hAnsi="Helvetica"/>
          <w:szCs w:val="22"/>
        </w:rPr>
        <w:t>Les régions de France, membres de la Fédération des Parcs peuvent ainsi conforter les stratégies des Parcs qu’elles soutiennent et favoriser la dimension expérimentation et transfert méthodologique.</w:t>
      </w:r>
    </w:p>
    <w:p w14:paraId="0A8F508C" w14:textId="77777777" w:rsidR="00A729F0" w:rsidRPr="00740BFF" w:rsidRDefault="00A729F0" w:rsidP="00A729F0">
      <w:pPr>
        <w:jc w:val="both"/>
        <w:rPr>
          <w:rFonts w:ascii="Helvetica" w:eastAsia="Times New Roman" w:hAnsi="Helvetica"/>
          <w:szCs w:val="22"/>
        </w:rPr>
      </w:pPr>
      <w:r w:rsidRPr="00740BFF">
        <w:rPr>
          <w:rFonts w:ascii="Helvetica" w:eastAsia="Times New Roman" w:hAnsi="Helvetica"/>
          <w:szCs w:val="22"/>
        </w:rPr>
        <w:t> </w:t>
      </w:r>
    </w:p>
    <w:p w14:paraId="3711BA5D" w14:textId="77777777" w:rsidR="00A729F0" w:rsidRPr="00740BFF" w:rsidRDefault="00A729F0" w:rsidP="00A729F0">
      <w:pPr>
        <w:jc w:val="both"/>
        <w:rPr>
          <w:rFonts w:ascii="Helvetica" w:eastAsia="Times New Roman" w:hAnsi="Helvetica"/>
          <w:szCs w:val="22"/>
        </w:rPr>
      </w:pPr>
    </w:p>
    <w:p w14:paraId="3E2761C5" w14:textId="77777777" w:rsidR="00A729F0" w:rsidRPr="000E4797" w:rsidRDefault="00A729F0" w:rsidP="000E4797">
      <w:pPr>
        <w:rPr>
          <w:rFonts w:ascii="Calibri" w:eastAsia="Times New Roman" w:hAnsi="Calibri" w:cs="Calibri"/>
          <w:b/>
          <w:color w:val="000000"/>
          <w:sz w:val="24"/>
        </w:rPr>
      </w:pPr>
      <w:r w:rsidRPr="000E4797">
        <w:rPr>
          <w:rFonts w:ascii="Calibri" w:eastAsia="Times New Roman" w:hAnsi="Calibri" w:cs="Calibri"/>
          <w:b/>
          <w:color w:val="000000"/>
          <w:sz w:val="24"/>
        </w:rPr>
        <w:t>Des communes et intercommunalités porteuses des enjeux du Parc</w:t>
      </w:r>
    </w:p>
    <w:p w14:paraId="07DE9032" w14:textId="77777777" w:rsidR="00A729F0" w:rsidRPr="000E4797" w:rsidRDefault="00A729F0" w:rsidP="00A729F0">
      <w:pPr>
        <w:jc w:val="both"/>
        <w:rPr>
          <w:rFonts w:ascii="Helvetica" w:eastAsia="Times New Roman" w:hAnsi="Helvetica"/>
          <w:szCs w:val="20"/>
        </w:rPr>
      </w:pPr>
    </w:p>
    <w:p w14:paraId="004E888A" w14:textId="77777777" w:rsidR="00A729F0" w:rsidRPr="000E4797" w:rsidRDefault="00A729F0" w:rsidP="00A729F0">
      <w:pPr>
        <w:jc w:val="both"/>
        <w:rPr>
          <w:rFonts w:ascii="Helvetica" w:eastAsia="Times New Roman" w:hAnsi="Helvetica"/>
          <w:szCs w:val="20"/>
        </w:rPr>
      </w:pPr>
      <w:r w:rsidRPr="000E4797">
        <w:rPr>
          <w:rFonts w:ascii="Helvetica" w:eastAsia="Times New Roman" w:hAnsi="Helvetica"/>
          <w:szCs w:val="20"/>
        </w:rPr>
        <w:t>La Fédération demande aux communes et intercommunalités d’informer le Parc le plus en amont des projets éoliens qui les concernent et de veiller au respect des engagements pris dans la Charte.</w:t>
      </w:r>
    </w:p>
    <w:p w14:paraId="5FD8B65A" w14:textId="77777777" w:rsidR="00A729F0" w:rsidRDefault="00A729F0" w:rsidP="00A729F0">
      <w:pPr>
        <w:widowControl w:val="0"/>
        <w:autoSpaceDE w:val="0"/>
        <w:rPr>
          <w:rFonts w:ascii="Helvetica" w:eastAsia="Times New Roman" w:hAnsi="Helvetica"/>
          <w:szCs w:val="20"/>
        </w:rPr>
      </w:pPr>
    </w:p>
    <w:p w14:paraId="17D87896" w14:textId="77777777" w:rsidR="00A729F0" w:rsidRDefault="00A729F0" w:rsidP="00A729F0">
      <w:pPr>
        <w:widowControl w:val="0"/>
        <w:autoSpaceDE w:val="0"/>
        <w:rPr>
          <w:rFonts w:ascii="Helvetica" w:eastAsia="Times New Roman" w:hAnsi="Helvetica"/>
          <w:szCs w:val="20"/>
        </w:rPr>
      </w:pPr>
    </w:p>
    <w:p w14:paraId="6696C4D8" w14:textId="77777777" w:rsidR="00A729F0" w:rsidRPr="008B505C" w:rsidRDefault="00A729F0" w:rsidP="00A729F0">
      <w:pPr>
        <w:rPr>
          <w:rFonts w:ascii="Helvetica" w:eastAsia="Lucida Sans Unicode" w:hAnsi="Helvetica" w:cs="Tahoma"/>
          <w:b/>
          <w:i/>
          <w:szCs w:val="20"/>
          <w:lang/>
        </w:rPr>
      </w:pPr>
    </w:p>
    <w:p w14:paraId="4FE2BE7D" w14:textId="39A48BA6" w:rsidR="00591A4B" w:rsidRPr="00A729F0" w:rsidRDefault="00591A4B" w:rsidP="00A729F0">
      <w:pPr>
        <w:rPr>
          <w:rFonts w:ascii="Helvetica" w:eastAsia="Lucida Sans Unicode" w:hAnsi="Helvetica" w:cs="Tahoma"/>
          <w:bCs/>
          <w:iCs/>
          <w:szCs w:val="20"/>
        </w:rPr>
      </w:pPr>
      <w:r w:rsidRPr="00A729F0">
        <w:rPr>
          <w:rFonts w:ascii="Helvetica" w:eastAsia="Lucida Sans Unicode" w:hAnsi="Helvetica" w:cs="Tahoma"/>
          <w:bCs/>
          <w:iCs/>
          <w:szCs w:val="20"/>
        </w:rPr>
        <w:t xml:space="preserve"> </w:t>
      </w:r>
    </w:p>
    <w:sectPr w:rsidR="00591A4B" w:rsidRPr="00A729F0" w:rsidSect="0021200E">
      <w:footerReference w:type="even" r:id="rId9"/>
      <w:footerReference w:type="default" r:id="rId10"/>
      <w:pgSz w:w="11900" w:h="16840"/>
      <w:pgMar w:top="851" w:right="1417" w:bottom="1417" w:left="141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ED5B" w14:textId="77777777" w:rsidR="00D71248" w:rsidRDefault="00D71248">
      <w:r>
        <w:separator/>
      </w:r>
    </w:p>
  </w:endnote>
  <w:endnote w:type="continuationSeparator" w:id="0">
    <w:p w14:paraId="043427D9" w14:textId="77777777" w:rsidR="00D71248" w:rsidRDefault="00D7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MT Condensed Light">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A992" w14:textId="77777777" w:rsidR="00CA051A" w:rsidRDefault="00CA051A">
    <w:pPr>
      <w:pStyle w:val="Pieddepage"/>
      <w:framePr w:wrap="around" w:vAnchor="text" w:hAnchor="margin" w:xAlign="right" w:y="1"/>
      <w:rPr>
        <w:rStyle w:val="Numrodepage"/>
      </w:rPr>
    </w:pPr>
    <w:r>
      <w:rPr>
        <w:rStyle w:val="Numrodepage"/>
      </w:rPr>
      <w:fldChar w:fldCharType="begin"/>
    </w:r>
    <w:r w:rsidR="00411C43">
      <w:rPr>
        <w:rStyle w:val="Numrodepage"/>
      </w:rPr>
      <w:instrText>PAGE</w:instrText>
    </w:r>
    <w:r>
      <w:rPr>
        <w:rStyle w:val="Numrodepage"/>
      </w:rPr>
      <w:instrText xml:space="preserve">  </w:instrText>
    </w:r>
    <w:r>
      <w:rPr>
        <w:rStyle w:val="Numrodepage"/>
      </w:rPr>
      <w:fldChar w:fldCharType="end"/>
    </w:r>
  </w:p>
  <w:p w14:paraId="200D1F95" w14:textId="77777777" w:rsidR="00CA051A" w:rsidRDefault="00CA051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09F9" w14:textId="77777777" w:rsidR="00CA051A" w:rsidRDefault="00CA051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1C4C" w14:textId="77777777" w:rsidR="00D71248" w:rsidRDefault="00D71248">
      <w:r>
        <w:separator/>
      </w:r>
    </w:p>
  </w:footnote>
  <w:footnote w:type="continuationSeparator" w:id="0">
    <w:p w14:paraId="79C52906" w14:textId="77777777" w:rsidR="00D71248" w:rsidRDefault="00D71248">
      <w:r>
        <w:continuationSeparator/>
      </w:r>
    </w:p>
  </w:footnote>
  <w:footnote w:id="1">
    <w:p w14:paraId="410A6EB5" w14:textId="77777777" w:rsidR="00A729F0" w:rsidRDefault="00A729F0" w:rsidP="00A729F0">
      <w:pPr>
        <w:pStyle w:val="Notedebasdepage"/>
      </w:pPr>
      <w:r>
        <w:rPr>
          <w:rStyle w:val="Appelnotedebasdep"/>
        </w:rPr>
        <w:footnoteRef/>
      </w:r>
      <w:r>
        <w:t xml:space="preserve"> Il ne s’agit aucunement d’une nouvelle procédure mais simplement de respecter les principes fondateurs des Parcs et de faciliter la réussite des projets.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90F"/>
    <w:multiLevelType w:val="hybridMultilevel"/>
    <w:tmpl w:val="03DEAFCE"/>
    <w:lvl w:ilvl="0" w:tplc="BF4AF4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69763A"/>
    <w:multiLevelType w:val="hybridMultilevel"/>
    <w:tmpl w:val="A5BEF674"/>
    <w:lvl w:ilvl="0" w:tplc="56D0CFF0">
      <w:numFmt w:val="bullet"/>
      <w:lvlText w:val="-"/>
      <w:lvlJc w:val="left"/>
      <w:pPr>
        <w:ind w:left="374" w:hanging="360"/>
      </w:pPr>
      <w:rPr>
        <w:rFonts w:ascii="Helvetica" w:eastAsia="Times New Roman" w:hAnsi="Helvetica" w:cs="Times New Roman" w:hint="default"/>
      </w:rPr>
    </w:lvl>
    <w:lvl w:ilvl="1" w:tplc="040C0003" w:tentative="1">
      <w:start w:val="1"/>
      <w:numFmt w:val="bullet"/>
      <w:lvlText w:val="o"/>
      <w:lvlJc w:val="left"/>
      <w:pPr>
        <w:ind w:left="1094" w:hanging="360"/>
      </w:pPr>
      <w:rPr>
        <w:rFonts w:ascii="Courier New" w:hAnsi="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2" w15:restartNumberingAfterBreak="0">
    <w:nsid w:val="30D63790"/>
    <w:multiLevelType w:val="hybridMultilevel"/>
    <w:tmpl w:val="918E9038"/>
    <w:lvl w:ilvl="0" w:tplc="000F040C">
      <w:start w:val="1"/>
      <w:numFmt w:val="decimal"/>
      <w:lvlText w:val="%1."/>
      <w:lvlJc w:val="left"/>
      <w:pPr>
        <w:tabs>
          <w:tab w:val="num" w:pos="720"/>
        </w:tabs>
        <w:ind w:left="720" w:hanging="360"/>
      </w:pPr>
      <w:rPr>
        <w:rFonts w:hint="default"/>
      </w:r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3DDB3636"/>
    <w:multiLevelType w:val="hybridMultilevel"/>
    <w:tmpl w:val="EC84477C"/>
    <w:lvl w:ilvl="0" w:tplc="E176E0C0">
      <w:start w:val="1"/>
      <w:numFmt w:val="upperRoman"/>
      <w:pStyle w:val="Style1"/>
      <w:lvlText w:val="%1."/>
      <w:lvlJc w:val="right"/>
      <w:pPr>
        <w:tabs>
          <w:tab w:val="num" w:pos="540"/>
        </w:tabs>
        <w:ind w:left="540" w:hanging="18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15:restartNumberingAfterBreak="0">
    <w:nsid w:val="5B341A50"/>
    <w:multiLevelType w:val="hybridMultilevel"/>
    <w:tmpl w:val="A886A2D8"/>
    <w:lvl w:ilvl="0" w:tplc="C1382F6C">
      <w:numFmt w:val="bullet"/>
      <w:lvlText w:val="-"/>
      <w:lvlJc w:val="left"/>
      <w:pPr>
        <w:ind w:left="720" w:hanging="360"/>
      </w:pPr>
      <w:rPr>
        <w:rFonts w:ascii="Helvetica" w:eastAsia="Lucida Sans Unicode" w:hAnsi="Helvetic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667DB0"/>
    <w:multiLevelType w:val="hybridMultilevel"/>
    <w:tmpl w:val="4FD2816C"/>
    <w:lvl w:ilvl="0" w:tplc="ADCEAE98">
      <w:start w:val="1"/>
      <w:numFmt w:val="bullet"/>
      <w:lvlText w:val=""/>
      <w:lvlJc w:val="left"/>
      <w:pPr>
        <w:tabs>
          <w:tab w:val="num" w:pos="720"/>
        </w:tabs>
        <w:ind w:left="720" w:hanging="360"/>
      </w:pPr>
      <w:rPr>
        <w:rFonts w:ascii="Symbol" w:hAnsi="Symbol" w:hint="default"/>
        <w:sz w:val="20"/>
      </w:rPr>
    </w:lvl>
    <w:lvl w:ilvl="1" w:tplc="C8AC56AE" w:tentative="1">
      <w:start w:val="1"/>
      <w:numFmt w:val="bullet"/>
      <w:lvlText w:val="o"/>
      <w:lvlJc w:val="left"/>
      <w:pPr>
        <w:tabs>
          <w:tab w:val="num" w:pos="1440"/>
        </w:tabs>
        <w:ind w:left="1440" w:hanging="360"/>
      </w:pPr>
      <w:rPr>
        <w:rFonts w:ascii="Courier New" w:hAnsi="Courier New" w:hint="default"/>
        <w:sz w:val="20"/>
      </w:rPr>
    </w:lvl>
    <w:lvl w:ilvl="2" w:tplc="D60AF8D6" w:tentative="1">
      <w:start w:val="1"/>
      <w:numFmt w:val="bullet"/>
      <w:lvlText w:val=""/>
      <w:lvlJc w:val="left"/>
      <w:pPr>
        <w:tabs>
          <w:tab w:val="num" w:pos="2160"/>
        </w:tabs>
        <w:ind w:left="2160" w:hanging="360"/>
      </w:pPr>
      <w:rPr>
        <w:rFonts w:ascii="Wingdings" w:hAnsi="Wingdings" w:hint="default"/>
        <w:sz w:val="20"/>
      </w:rPr>
    </w:lvl>
    <w:lvl w:ilvl="3" w:tplc="E48ABC42" w:tentative="1">
      <w:start w:val="1"/>
      <w:numFmt w:val="bullet"/>
      <w:lvlText w:val=""/>
      <w:lvlJc w:val="left"/>
      <w:pPr>
        <w:tabs>
          <w:tab w:val="num" w:pos="2880"/>
        </w:tabs>
        <w:ind w:left="2880" w:hanging="360"/>
      </w:pPr>
      <w:rPr>
        <w:rFonts w:ascii="Wingdings" w:hAnsi="Wingdings" w:hint="default"/>
        <w:sz w:val="20"/>
      </w:rPr>
    </w:lvl>
    <w:lvl w:ilvl="4" w:tplc="B7F40CEA" w:tentative="1">
      <w:start w:val="1"/>
      <w:numFmt w:val="bullet"/>
      <w:lvlText w:val=""/>
      <w:lvlJc w:val="left"/>
      <w:pPr>
        <w:tabs>
          <w:tab w:val="num" w:pos="3600"/>
        </w:tabs>
        <w:ind w:left="3600" w:hanging="360"/>
      </w:pPr>
      <w:rPr>
        <w:rFonts w:ascii="Wingdings" w:hAnsi="Wingdings" w:hint="default"/>
        <w:sz w:val="20"/>
      </w:rPr>
    </w:lvl>
    <w:lvl w:ilvl="5" w:tplc="1B868B0E" w:tentative="1">
      <w:start w:val="1"/>
      <w:numFmt w:val="bullet"/>
      <w:lvlText w:val=""/>
      <w:lvlJc w:val="left"/>
      <w:pPr>
        <w:tabs>
          <w:tab w:val="num" w:pos="4320"/>
        </w:tabs>
        <w:ind w:left="4320" w:hanging="360"/>
      </w:pPr>
      <w:rPr>
        <w:rFonts w:ascii="Wingdings" w:hAnsi="Wingdings" w:hint="default"/>
        <w:sz w:val="20"/>
      </w:rPr>
    </w:lvl>
    <w:lvl w:ilvl="6" w:tplc="750A53F0" w:tentative="1">
      <w:start w:val="1"/>
      <w:numFmt w:val="bullet"/>
      <w:lvlText w:val=""/>
      <w:lvlJc w:val="left"/>
      <w:pPr>
        <w:tabs>
          <w:tab w:val="num" w:pos="5040"/>
        </w:tabs>
        <w:ind w:left="5040" w:hanging="360"/>
      </w:pPr>
      <w:rPr>
        <w:rFonts w:ascii="Wingdings" w:hAnsi="Wingdings" w:hint="default"/>
        <w:sz w:val="20"/>
      </w:rPr>
    </w:lvl>
    <w:lvl w:ilvl="7" w:tplc="61E87EFE" w:tentative="1">
      <w:start w:val="1"/>
      <w:numFmt w:val="bullet"/>
      <w:lvlText w:val=""/>
      <w:lvlJc w:val="left"/>
      <w:pPr>
        <w:tabs>
          <w:tab w:val="num" w:pos="5760"/>
        </w:tabs>
        <w:ind w:left="5760" w:hanging="360"/>
      </w:pPr>
      <w:rPr>
        <w:rFonts w:ascii="Wingdings" w:hAnsi="Wingdings" w:hint="default"/>
        <w:sz w:val="20"/>
      </w:rPr>
    </w:lvl>
    <w:lvl w:ilvl="8" w:tplc="90D68A7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6465F"/>
    <w:multiLevelType w:val="hybridMultilevel"/>
    <w:tmpl w:val="A9940906"/>
    <w:lvl w:ilvl="0" w:tplc="7BA4BD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FF50EC"/>
    <w:multiLevelType w:val="hybridMultilevel"/>
    <w:tmpl w:val="03E82DDE"/>
    <w:lvl w:ilvl="0" w:tplc="A672C3DE">
      <w:start w:val="1"/>
      <w:numFmt w:val="decimal"/>
      <w:pStyle w:val="Style2"/>
      <w:lvlText w:val="%1."/>
      <w:lvlJc w:val="left"/>
      <w:pPr>
        <w:tabs>
          <w:tab w:val="num" w:pos="1427"/>
        </w:tabs>
        <w:ind w:left="1427" w:hanging="360"/>
      </w:pPr>
    </w:lvl>
    <w:lvl w:ilvl="1" w:tplc="0019040C" w:tentative="1">
      <w:start w:val="1"/>
      <w:numFmt w:val="lowerLetter"/>
      <w:lvlText w:val="%2."/>
      <w:lvlJc w:val="left"/>
      <w:pPr>
        <w:tabs>
          <w:tab w:val="num" w:pos="2147"/>
        </w:tabs>
        <w:ind w:left="2147" w:hanging="360"/>
      </w:pPr>
    </w:lvl>
    <w:lvl w:ilvl="2" w:tplc="001B040C" w:tentative="1">
      <w:start w:val="1"/>
      <w:numFmt w:val="lowerRoman"/>
      <w:lvlText w:val="%3."/>
      <w:lvlJc w:val="right"/>
      <w:pPr>
        <w:tabs>
          <w:tab w:val="num" w:pos="2867"/>
        </w:tabs>
        <w:ind w:left="2867" w:hanging="180"/>
      </w:pPr>
    </w:lvl>
    <w:lvl w:ilvl="3" w:tplc="000F040C" w:tentative="1">
      <w:start w:val="1"/>
      <w:numFmt w:val="decimal"/>
      <w:lvlText w:val="%4."/>
      <w:lvlJc w:val="left"/>
      <w:pPr>
        <w:tabs>
          <w:tab w:val="num" w:pos="3587"/>
        </w:tabs>
        <w:ind w:left="3587" w:hanging="360"/>
      </w:pPr>
    </w:lvl>
    <w:lvl w:ilvl="4" w:tplc="0019040C" w:tentative="1">
      <w:start w:val="1"/>
      <w:numFmt w:val="lowerLetter"/>
      <w:lvlText w:val="%5."/>
      <w:lvlJc w:val="left"/>
      <w:pPr>
        <w:tabs>
          <w:tab w:val="num" w:pos="4307"/>
        </w:tabs>
        <w:ind w:left="4307" w:hanging="360"/>
      </w:pPr>
    </w:lvl>
    <w:lvl w:ilvl="5" w:tplc="001B040C" w:tentative="1">
      <w:start w:val="1"/>
      <w:numFmt w:val="lowerRoman"/>
      <w:lvlText w:val="%6."/>
      <w:lvlJc w:val="right"/>
      <w:pPr>
        <w:tabs>
          <w:tab w:val="num" w:pos="5027"/>
        </w:tabs>
        <w:ind w:left="5027" w:hanging="180"/>
      </w:pPr>
    </w:lvl>
    <w:lvl w:ilvl="6" w:tplc="000F040C" w:tentative="1">
      <w:start w:val="1"/>
      <w:numFmt w:val="decimal"/>
      <w:lvlText w:val="%7."/>
      <w:lvlJc w:val="left"/>
      <w:pPr>
        <w:tabs>
          <w:tab w:val="num" w:pos="5747"/>
        </w:tabs>
        <w:ind w:left="5747" w:hanging="360"/>
      </w:pPr>
    </w:lvl>
    <w:lvl w:ilvl="7" w:tplc="0019040C" w:tentative="1">
      <w:start w:val="1"/>
      <w:numFmt w:val="lowerLetter"/>
      <w:lvlText w:val="%8."/>
      <w:lvlJc w:val="left"/>
      <w:pPr>
        <w:tabs>
          <w:tab w:val="num" w:pos="6467"/>
        </w:tabs>
        <w:ind w:left="6467" w:hanging="360"/>
      </w:pPr>
    </w:lvl>
    <w:lvl w:ilvl="8" w:tplc="001B040C" w:tentative="1">
      <w:start w:val="1"/>
      <w:numFmt w:val="lowerRoman"/>
      <w:lvlText w:val="%9."/>
      <w:lvlJc w:val="right"/>
      <w:pPr>
        <w:tabs>
          <w:tab w:val="num" w:pos="7187"/>
        </w:tabs>
        <w:ind w:left="7187" w:hanging="180"/>
      </w:pPr>
    </w:lvl>
  </w:abstractNum>
  <w:num w:numId="1">
    <w:abstractNumId w:val="3"/>
  </w:num>
  <w:num w:numId="2">
    <w:abstractNumId w:val="7"/>
  </w:num>
  <w:num w:numId="3">
    <w:abstractNumId w:val="5"/>
  </w:num>
  <w:num w:numId="4">
    <w:abstractNumId w:val="2"/>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28"/>
    <w:rsid w:val="00012EEA"/>
    <w:rsid w:val="0001349C"/>
    <w:rsid w:val="000E2919"/>
    <w:rsid w:val="000E4797"/>
    <w:rsid w:val="000F612D"/>
    <w:rsid w:val="00106EB4"/>
    <w:rsid w:val="00135D47"/>
    <w:rsid w:val="00152F3D"/>
    <w:rsid w:val="00165489"/>
    <w:rsid w:val="001923A2"/>
    <w:rsid w:val="00197322"/>
    <w:rsid w:val="001F68F3"/>
    <w:rsid w:val="002032C3"/>
    <w:rsid w:val="0021200E"/>
    <w:rsid w:val="0022370A"/>
    <w:rsid w:val="00281A09"/>
    <w:rsid w:val="002C71D2"/>
    <w:rsid w:val="002F07AA"/>
    <w:rsid w:val="00313D33"/>
    <w:rsid w:val="00330B15"/>
    <w:rsid w:val="0035394E"/>
    <w:rsid w:val="00381A4D"/>
    <w:rsid w:val="003D0C0B"/>
    <w:rsid w:val="003D3956"/>
    <w:rsid w:val="003F1877"/>
    <w:rsid w:val="0041193A"/>
    <w:rsid w:val="00411C43"/>
    <w:rsid w:val="00422AC4"/>
    <w:rsid w:val="00471ECA"/>
    <w:rsid w:val="00472EFA"/>
    <w:rsid w:val="0054686B"/>
    <w:rsid w:val="00580277"/>
    <w:rsid w:val="00584DB4"/>
    <w:rsid w:val="00591A4B"/>
    <w:rsid w:val="00604700"/>
    <w:rsid w:val="006114B4"/>
    <w:rsid w:val="00663F29"/>
    <w:rsid w:val="006700F8"/>
    <w:rsid w:val="006A1D89"/>
    <w:rsid w:val="006A303E"/>
    <w:rsid w:val="006A384C"/>
    <w:rsid w:val="006B1176"/>
    <w:rsid w:val="006C6C06"/>
    <w:rsid w:val="006E38DA"/>
    <w:rsid w:val="00720C39"/>
    <w:rsid w:val="00725461"/>
    <w:rsid w:val="00756F1A"/>
    <w:rsid w:val="00766267"/>
    <w:rsid w:val="00784017"/>
    <w:rsid w:val="007F5928"/>
    <w:rsid w:val="007F6F20"/>
    <w:rsid w:val="0084383F"/>
    <w:rsid w:val="00882DE2"/>
    <w:rsid w:val="008B505C"/>
    <w:rsid w:val="008F3BEE"/>
    <w:rsid w:val="008F3DAC"/>
    <w:rsid w:val="00911EDE"/>
    <w:rsid w:val="0094383C"/>
    <w:rsid w:val="00962549"/>
    <w:rsid w:val="009A02D2"/>
    <w:rsid w:val="009A2A2B"/>
    <w:rsid w:val="009A7C61"/>
    <w:rsid w:val="009D04F2"/>
    <w:rsid w:val="009D358F"/>
    <w:rsid w:val="00A01106"/>
    <w:rsid w:val="00A20E06"/>
    <w:rsid w:val="00A50F0C"/>
    <w:rsid w:val="00A5454B"/>
    <w:rsid w:val="00A729F0"/>
    <w:rsid w:val="00A77D6C"/>
    <w:rsid w:val="00A95D27"/>
    <w:rsid w:val="00AD75CF"/>
    <w:rsid w:val="00B227F1"/>
    <w:rsid w:val="00B34C3B"/>
    <w:rsid w:val="00BC4B28"/>
    <w:rsid w:val="00BD2E9B"/>
    <w:rsid w:val="00BF176C"/>
    <w:rsid w:val="00C22D35"/>
    <w:rsid w:val="00C238E8"/>
    <w:rsid w:val="00C23C76"/>
    <w:rsid w:val="00CA051A"/>
    <w:rsid w:val="00CF3FC9"/>
    <w:rsid w:val="00D1797E"/>
    <w:rsid w:val="00D414A6"/>
    <w:rsid w:val="00D71248"/>
    <w:rsid w:val="00D71BBF"/>
    <w:rsid w:val="00DA237C"/>
    <w:rsid w:val="00DA664D"/>
    <w:rsid w:val="00DB6B0C"/>
    <w:rsid w:val="00DE468D"/>
    <w:rsid w:val="00E44581"/>
    <w:rsid w:val="00E9611C"/>
    <w:rsid w:val="00EB2B12"/>
    <w:rsid w:val="00EC757E"/>
    <w:rsid w:val="00EF349B"/>
    <w:rsid w:val="00F13F68"/>
    <w:rsid w:val="00F65365"/>
    <w:rsid w:val="00F747BA"/>
    <w:rsid w:val="00F80CAB"/>
    <w:rsid w:val="00F92F90"/>
    <w:rsid w:val="00FE74FA"/>
    <w:rsid w:val="00FF439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696D48B"/>
  <w14:defaultImageDpi w14:val="300"/>
  <w15:chartTrackingRefBased/>
  <w15:docId w15:val="{32BD730D-07E2-2D48-B791-712C429B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w:hAnsi="Helvetica Neue"/>
      <w:sz w:val="22"/>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pPr>
      <w:spacing w:before="120" w:after="120"/>
    </w:pPr>
    <w:rPr>
      <w:rFonts w:ascii="Times New Roman" w:hAnsi="Times New Roman"/>
      <w:b/>
      <w:caps/>
      <w:sz w:val="20"/>
      <w:szCs w:val="20"/>
    </w:rPr>
  </w:style>
  <w:style w:type="paragraph" w:customStyle="1" w:styleId="Style1">
    <w:name w:val="Style1"/>
    <w:basedOn w:val="Normal"/>
    <w:rsid w:val="00670E71"/>
    <w:pPr>
      <w:numPr>
        <w:numId w:val="1"/>
      </w:numPr>
      <w:jc w:val="both"/>
    </w:pPr>
    <w:rPr>
      <w:rFonts w:ascii="Helvetica" w:hAnsi="Helvetica"/>
      <w:b/>
      <w:u w:val="single"/>
    </w:rPr>
  </w:style>
  <w:style w:type="paragraph" w:styleId="TM2">
    <w:name w:val="toc 2"/>
    <w:basedOn w:val="Normal"/>
    <w:next w:val="Normal"/>
    <w:autoRedefine/>
    <w:semiHidden/>
    <w:pPr>
      <w:ind w:left="220"/>
    </w:pPr>
    <w:rPr>
      <w:rFonts w:ascii="Times New Roman" w:hAnsi="Times New Roman"/>
      <w:smallCaps/>
      <w:sz w:val="20"/>
      <w:szCs w:val="20"/>
    </w:rPr>
  </w:style>
  <w:style w:type="paragraph" w:styleId="TM3">
    <w:name w:val="toc 3"/>
    <w:basedOn w:val="Normal"/>
    <w:next w:val="Normal"/>
    <w:autoRedefine/>
    <w:semiHidden/>
    <w:pPr>
      <w:ind w:left="440"/>
    </w:pPr>
    <w:rPr>
      <w:rFonts w:ascii="Times New Roman" w:hAnsi="Times New Roman"/>
      <w:i/>
      <w:sz w:val="20"/>
      <w:szCs w:val="20"/>
    </w:rPr>
  </w:style>
  <w:style w:type="paragraph" w:styleId="TM4">
    <w:name w:val="toc 4"/>
    <w:basedOn w:val="Normal"/>
    <w:next w:val="Normal"/>
    <w:autoRedefine/>
    <w:semiHidden/>
    <w:pPr>
      <w:ind w:left="660"/>
    </w:pPr>
    <w:rPr>
      <w:rFonts w:ascii="Times New Roman" w:hAnsi="Times New Roman"/>
      <w:sz w:val="18"/>
      <w:szCs w:val="18"/>
    </w:rPr>
  </w:style>
  <w:style w:type="paragraph" w:styleId="TM5">
    <w:name w:val="toc 5"/>
    <w:basedOn w:val="Normal"/>
    <w:next w:val="Normal"/>
    <w:autoRedefine/>
    <w:semiHidden/>
    <w:pPr>
      <w:ind w:left="880"/>
    </w:pPr>
    <w:rPr>
      <w:rFonts w:ascii="Times New Roman" w:hAnsi="Times New Roman"/>
      <w:sz w:val="18"/>
      <w:szCs w:val="18"/>
    </w:rPr>
  </w:style>
  <w:style w:type="paragraph" w:styleId="TM6">
    <w:name w:val="toc 6"/>
    <w:basedOn w:val="Normal"/>
    <w:next w:val="Normal"/>
    <w:autoRedefine/>
    <w:semiHidden/>
    <w:pPr>
      <w:ind w:left="1100"/>
    </w:pPr>
    <w:rPr>
      <w:rFonts w:ascii="Times New Roman" w:hAnsi="Times New Roman"/>
      <w:sz w:val="18"/>
      <w:szCs w:val="18"/>
    </w:rPr>
  </w:style>
  <w:style w:type="paragraph" w:styleId="TM7">
    <w:name w:val="toc 7"/>
    <w:basedOn w:val="Normal"/>
    <w:next w:val="Normal"/>
    <w:autoRedefine/>
    <w:semiHidden/>
    <w:pPr>
      <w:ind w:left="1320"/>
    </w:pPr>
    <w:rPr>
      <w:rFonts w:ascii="Times New Roman" w:hAnsi="Times New Roman"/>
      <w:sz w:val="18"/>
      <w:szCs w:val="18"/>
    </w:rPr>
  </w:style>
  <w:style w:type="paragraph" w:styleId="TM8">
    <w:name w:val="toc 8"/>
    <w:basedOn w:val="Normal"/>
    <w:next w:val="Normal"/>
    <w:autoRedefine/>
    <w:semiHidden/>
    <w:pPr>
      <w:ind w:left="1540"/>
    </w:pPr>
    <w:rPr>
      <w:rFonts w:ascii="Times New Roman" w:hAnsi="Times New Roman"/>
      <w:sz w:val="18"/>
      <w:szCs w:val="18"/>
    </w:rPr>
  </w:style>
  <w:style w:type="paragraph" w:styleId="TM9">
    <w:name w:val="toc 9"/>
    <w:basedOn w:val="Normal"/>
    <w:next w:val="Normal"/>
    <w:autoRedefine/>
    <w:semiHidden/>
    <w:pPr>
      <w:ind w:left="1760"/>
    </w:pPr>
    <w:rPr>
      <w:rFonts w:ascii="Times New Roman" w:hAnsi="Times New Roman"/>
      <w:sz w:val="18"/>
      <w:szCs w:val="18"/>
    </w:rPr>
  </w:style>
  <w:style w:type="paragraph" w:styleId="Pieddepage">
    <w:name w:val="footer"/>
    <w:basedOn w:val="Normal"/>
    <w:semiHidden/>
    <w:pPr>
      <w:tabs>
        <w:tab w:val="center" w:pos="4536"/>
        <w:tab w:val="right" w:pos="9072"/>
      </w:tabs>
    </w:pPr>
  </w:style>
  <w:style w:type="paragraph" w:styleId="En-tte">
    <w:name w:val="header"/>
    <w:basedOn w:val="Normal"/>
    <w:rsid w:val="00E02D98"/>
    <w:pPr>
      <w:tabs>
        <w:tab w:val="center" w:pos="4536"/>
        <w:tab w:val="right" w:pos="9072"/>
      </w:tabs>
    </w:pPr>
  </w:style>
  <w:style w:type="character" w:styleId="Numrodepage">
    <w:name w:val="page number"/>
    <w:basedOn w:val="Policepardfaut"/>
  </w:style>
  <w:style w:type="character" w:styleId="Lienhypertexte">
    <w:name w:val="Hyperlink"/>
    <w:rPr>
      <w:color w:val="0000D4"/>
      <w:u w:val="single"/>
    </w:rPr>
  </w:style>
  <w:style w:type="character" w:styleId="Lienhypertextesuivivisit">
    <w:name w:val="FollowedHyperlink"/>
    <w:rPr>
      <w:color w:val="993366"/>
      <w:u w:val="single"/>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sz w:val="20"/>
      <w:szCs w:val="20"/>
    </w:rPr>
  </w:style>
  <w:style w:type="paragraph" w:customStyle="1" w:styleId="xl25">
    <w:name w:val="xl25"/>
    <w:basedOn w:val="Normal"/>
    <w:pPr>
      <w:spacing w:before="100" w:beforeAutospacing="1" w:after="100" w:afterAutospacing="1"/>
      <w:textAlignment w:val="center"/>
    </w:pPr>
    <w:rPr>
      <w:rFonts w:ascii="Helvetica" w:eastAsia="Times New Roman" w:hAnsi="Helvetica"/>
      <w:sz w:val="20"/>
      <w:szCs w:val="20"/>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sz w:val="20"/>
      <w:szCs w:val="20"/>
    </w:rPr>
  </w:style>
  <w:style w:type="paragraph" w:customStyle="1" w:styleId="xl27">
    <w:name w:val="xl27"/>
    <w:basedOn w:val="Normal"/>
    <w:pPr>
      <w:pBdr>
        <w:top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sz w:val="20"/>
      <w:szCs w:val="20"/>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sz w:val="20"/>
      <w:szCs w:val="20"/>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eastAsia="Times New Roman" w:hAnsi="Times"/>
      <w:color w:val="0000D4"/>
      <w:sz w:val="20"/>
      <w:szCs w:val="20"/>
      <w:u w:val="single"/>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color w:val="0000D4"/>
      <w:sz w:val="20"/>
      <w:szCs w:val="20"/>
      <w:u w:val="single"/>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elvetica" w:eastAsia="Times New Roman" w:hAnsi="Helvetica"/>
      <w:color w:val="000000"/>
      <w:sz w:val="20"/>
      <w:szCs w:val="2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eastAsia="Times New Roman" w:hAnsi="Times"/>
      <w:sz w:val="20"/>
      <w:szCs w:val="20"/>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eastAsia="Times New Roman" w:hAnsi="Times"/>
      <w:color w:val="0000D4"/>
      <w:sz w:val="20"/>
      <w:szCs w:val="20"/>
      <w:u w:val="single"/>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Lucida Grande" w:eastAsia="Times New Roman" w:hAnsi="Lucida Grande"/>
      <w:color w:val="0000D4"/>
      <w:sz w:val="20"/>
      <w:szCs w:val="20"/>
      <w:u w:val="single"/>
    </w:rPr>
  </w:style>
  <w:style w:type="paragraph" w:customStyle="1" w:styleId="xl35">
    <w:name w:val="xl35"/>
    <w:basedOn w:val="Normal"/>
    <w:pPr>
      <w:pBdr>
        <w:top w:val="single" w:sz="4" w:space="0" w:color="auto"/>
        <w:bottom w:val="single" w:sz="4" w:space="0" w:color="auto"/>
        <w:right w:val="single" w:sz="4" w:space="0" w:color="auto"/>
      </w:pBdr>
      <w:spacing w:before="100" w:beforeAutospacing="1" w:after="100" w:afterAutospacing="1"/>
      <w:textAlignment w:val="center"/>
    </w:pPr>
    <w:rPr>
      <w:rFonts w:ascii="Times" w:eastAsia="Times New Roman" w:hAnsi="Times"/>
      <w:sz w:val="20"/>
      <w:szCs w:val="20"/>
    </w:rPr>
  </w:style>
  <w:style w:type="paragraph" w:customStyle="1" w:styleId="xl36">
    <w:name w:val="xl36"/>
    <w:basedOn w:val="Normal"/>
    <w:pPr>
      <w:pBdr>
        <w:top w:val="single" w:sz="4" w:space="0" w:color="auto"/>
        <w:bottom w:val="single" w:sz="4" w:space="0" w:color="auto"/>
        <w:right w:val="single" w:sz="4" w:space="0" w:color="auto"/>
      </w:pBdr>
      <w:spacing w:before="100" w:beforeAutospacing="1" w:after="100" w:afterAutospacing="1"/>
      <w:textAlignment w:val="center"/>
    </w:pPr>
    <w:rPr>
      <w:rFonts w:ascii="Times" w:eastAsia="Times New Roman" w:hAnsi="Times"/>
      <w:sz w:val="20"/>
      <w:szCs w:val="20"/>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w:eastAsia="Times New Roman" w:hAnsi="Times"/>
      <w:sz w:val="20"/>
      <w:szCs w:val="20"/>
    </w:rPr>
  </w:style>
  <w:style w:type="paragraph" w:customStyle="1" w:styleId="xl38">
    <w:name w:val="xl38"/>
    <w:basedOn w:val="Normal"/>
    <w:pPr>
      <w:pBdr>
        <w:top w:val="single" w:sz="4" w:space="0" w:color="auto"/>
        <w:right w:val="single" w:sz="4" w:space="0" w:color="auto"/>
      </w:pBdr>
      <w:spacing w:before="100" w:beforeAutospacing="1" w:after="100" w:afterAutospacing="1"/>
      <w:jc w:val="center"/>
      <w:textAlignment w:val="center"/>
    </w:pPr>
    <w:rPr>
      <w:rFonts w:ascii="Helvetica" w:eastAsia="Times New Roman" w:hAnsi="Helvetica"/>
      <w:sz w:val="20"/>
      <w:szCs w:val="20"/>
    </w:rPr>
  </w:style>
  <w:style w:type="paragraph" w:customStyle="1" w:styleId="xl39">
    <w:name w:val="xl39"/>
    <w:basedOn w:val="Normal"/>
    <w:pPr>
      <w:pBdr>
        <w:bottom w:val="single" w:sz="4" w:space="0" w:color="auto"/>
        <w:right w:val="single" w:sz="4" w:space="0" w:color="auto"/>
      </w:pBdr>
      <w:spacing w:before="100" w:beforeAutospacing="1" w:after="100" w:afterAutospacing="1"/>
      <w:jc w:val="center"/>
      <w:textAlignment w:val="center"/>
    </w:pPr>
    <w:rPr>
      <w:rFonts w:ascii="Helvetica" w:eastAsia="Times New Roman" w:hAnsi="Helvetica"/>
      <w:sz w:val="20"/>
      <w:szCs w:val="20"/>
    </w:rPr>
  </w:style>
  <w:style w:type="paragraph" w:customStyle="1" w:styleId="xl40">
    <w:name w:val="xl4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Helvetica" w:eastAsia="Times New Roman" w:hAnsi="Helvetica"/>
      <w:sz w:val="20"/>
      <w:szCs w:val="20"/>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Helvetica" w:eastAsia="Times New Roman" w:hAnsi="Helvetica"/>
      <w:sz w:val="20"/>
      <w:szCs w:val="20"/>
    </w:rPr>
  </w:style>
  <w:style w:type="paragraph" w:customStyle="1" w:styleId="Style2">
    <w:name w:val="Style2"/>
    <w:basedOn w:val="Normal"/>
    <w:rsid w:val="00670E71"/>
    <w:pPr>
      <w:numPr>
        <w:numId w:val="2"/>
      </w:numPr>
    </w:pPr>
    <w:rPr>
      <w:rFonts w:ascii="Helvetica" w:hAnsi="Helvetica"/>
      <w:u w:val="single"/>
    </w:rPr>
  </w:style>
  <w:style w:type="paragraph" w:styleId="NormalWeb">
    <w:name w:val="Normal (Web)"/>
    <w:basedOn w:val="Normal"/>
    <w:uiPriority w:val="99"/>
    <w:rsid w:val="00E02D98"/>
    <w:pPr>
      <w:spacing w:before="100" w:beforeAutospacing="1" w:after="100" w:afterAutospacing="1"/>
    </w:pPr>
    <w:rPr>
      <w:rFonts w:ascii="Times" w:eastAsia="Times" w:hAnsi="Times"/>
      <w:sz w:val="20"/>
      <w:szCs w:val="20"/>
    </w:rPr>
  </w:style>
  <w:style w:type="paragraph" w:customStyle="1" w:styleId="Consultation">
    <w:name w:val="Consultation"/>
    <w:basedOn w:val="Normal"/>
    <w:rsid w:val="006016DD"/>
    <w:pPr>
      <w:widowControl w:val="0"/>
      <w:suppressAutoHyphens/>
      <w:spacing w:before="120" w:after="120"/>
      <w:ind w:firstLine="709"/>
      <w:jc w:val="both"/>
    </w:pPr>
    <w:rPr>
      <w:rFonts w:ascii="Times New Roman" w:eastAsia="Lucida Sans Unicode" w:hAnsi="Times New Roman"/>
      <w:sz w:val="24"/>
      <w:lang w:eastAsia="ar-SA"/>
    </w:rPr>
  </w:style>
  <w:style w:type="paragraph" w:styleId="Retraitcorpsdetexte">
    <w:name w:val="Body Text Indent"/>
    <w:basedOn w:val="Normal"/>
    <w:rsid w:val="006016DD"/>
    <w:pPr>
      <w:suppressAutoHyphens/>
      <w:ind w:firstLine="709"/>
    </w:pPr>
    <w:rPr>
      <w:rFonts w:ascii="Times New Roman" w:eastAsia="Times New Roman" w:hAnsi="Times New Roman"/>
      <w:sz w:val="24"/>
      <w:lang w:eastAsia="ar-SA"/>
    </w:rPr>
  </w:style>
  <w:style w:type="paragraph" w:customStyle="1" w:styleId="SNArticle">
    <w:name w:val="SNArticle"/>
    <w:basedOn w:val="Normal"/>
    <w:next w:val="Corpsdetexte"/>
    <w:rsid w:val="006016DD"/>
    <w:pPr>
      <w:suppressAutoHyphens/>
      <w:spacing w:before="240" w:after="240"/>
      <w:jc w:val="center"/>
    </w:pPr>
    <w:rPr>
      <w:rFonts w:ascii="Times New Roman" w:eastAsia="Times New Roman" w:hAnsi="Times New Roman"/>
      <w:b/>
      <w:sz w:val="24"/>
      <w:lang w:eastAsia="ar-SA"/>
    </w:rPr>
  </w:style>
  <w:style w:type="paragraph" w:styleId="Corpsdetexte">
    <w:name w:val="Body Text"/>
    <w:basedOn w:val="Normal"/>
    <w:rsid w:val="006016DD"/>
    <w:pPr>
      <w:spacing w:after="120"/>
    </w:pPr>
  </w:style>
  <w:style w:type="paragraph" w:styleId="Titre">
    <w:name w:val="Title"/>
    <w:basedOn w:val="Normal"/>
    <w:link w:val="TitreCar"/>
    <w:qFormat/>
    <w:rsid w:val="004B3355"/>
    <w:pPr>
      <w:spacing w:before="240" w:line="360" w:lineRule="auto"/>
      <w:jc w:val="center"/>
    </w:pPr>
    <w:rPr>
      <w:rFonts w:ascii="Arial MT Condensed Light" w:eastAsia="Times" w:hAnsi="Arial MT Condensed Light"/>
      <w:b/>
      <w:sz w:val="36"/>
      <w:szCs w:val="20"/>
    </w:rPr>
  </w:style>
  <w:style w:type="character" w:customStyle="1" w:styleId="TitreCar">
    <w:name w:val="Titre Car"/>
    <w:link w:val="Titre"/>
    <w:rsid w:val="004B3355"/>
    <w:rPr>
      <w:rFonts w:ascii="Arial MT Condensed Light" w:eastAsia="Times" w:hAnsi="Arial MT Condensed Light"/>
      <w:b/>
      <w:sz w:val="36"/>
    </w:rPr>
  </w:style>
  <w:style w:type="character" w:customStyle="1" w:styleId="apple-converted-space">
    <w:name w:val="apple-converted-space"/>
    <w:rsid w:val="002C71D2"/>
  </w:style>
  <w:style w:type="paragraph" w:styleId="Textedebulles">
    <w:name w:val="Balloon Text"/>
    <w:basedOn w:val="Normal"/>
    <w:link w:val="TextedebullesCar"/>
    <w:uiPriority w:val="99"/>
    <w:semiHidden/>
    <w:unhideWhenUsed/>
    <w:rsid w:val="00165489"/>
    <w:rPr>
      <w:rFonts w:ascii="Times New Roman" w:hAnsi="Times New Roman"/>
      <w:sz w:val="18"/>
      <w:szCs w:val="18"/>
    </w:rPr>
  </w:style>
  <w:style w:type="character" w:customStyle="1" w:styleId="TextedebullesCar">
    <w:name w:val="Texte de bulles Car"/>
    <w:link w:val="Textedebulles"/>
    <w:uiPriority w:val="99"/>
    <w:semiHidden/>
    <w:rsid w:val="00165489"/>
    <w:rPr>
      <w:sz w:val="18"/>
      <w:szCs w:val="18"/>
    </w:rPr>
  </w:style>
  <w:style w:type="paragraph" w:styleId="Paragraphedeliste">
    <w:name w:val="List Paragraph"/>
    <w:basedOn w:val="Normal"/>
    <w:uiPriority w:val="72"/>
    <w:qFormat/>
    <w:rsid w:val="00591A4B"/>
    <w:pPr>
      <w:ind w:left="720"/>
      <w:contextualSpacing/>
    </w:pPr>
  </w:style>
  <w:style w:type="paragraph" w:styleId="Notedebasdepage">
    <w:name w:val="footnote text"/>
    <w:basedOn w:val="Normal"/>
    <w:link w:val="NotedebasdepageCar"/>
    <w:uiPriority w:val="99"/>
    <w:semiHidden/>
    <w:unhideWhenUsed/>
    <w:rsid w:val="00A729F0"/>
    <w:rPr>
      <w:sz w:val="20"/>
      <w:szCs w:val="20"/>
    </w:rPr>
  </w:style>
  <w:style w:type="character" w:customStyle="1" w:styleId="NotedebasdepageCar">
    <w:name w:val="Note de bas de page Car"/>
    <w:basedOn w:val="Policepardfaut"/>
    <w:link w:val="Notedebasdepage"/>
    <w:uiPriority w:val="99"/>
    <w:semiHidden/>
    <w:rsid w:val="00A729F0"/>
    <w:rPr>
      <w:rFonts w:ascii="Helvetica Neue" w:hAnsi="Helvetica Neue"/>
    </w:rPr>
  </w:style>
  <w:style w:type="character" w:styleId="Appelnotedebasdep">
    <w:name w:val="footnote reference"/>
    <w:uiPriority w:val="99"/>
    <w:semiHidden/>
    <w:unhideWhenUsed/>
    <w:rsid w:val="00A72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3368">
      <w:bodyDiv w:val="1"/>
      <w:marLeft w:val="0"/>
      <w:marRight w:val="0"/>
      <w:marTop w:val="0"/>
      <w:marBottom w:val="0"/>
      <w:divBdr>
        <w:top w:val="none" w:sz="0" w:space="0" w:color="auto"/>
        <w:left w:val="none" w:sz="0" w:space="0" w:color="auto"/>
        <w:bottom w:val="none" w:sz="0" w:space="0" w:color="auto"/>
        <w:right w:val="none" w:sz="0" w:space="0" w:color="auto"/>
      </w:divBdr>
    </w:div>
    <w:div w:id="64567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hilippemoutet/Desktop/2021%20phm/Motions%202020/Motion%20bureau%20me&#769;tha%20V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F223-C076-1241-B553-97AB6885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 bureau métha V2.dotx</Template>
  <TotalTime>37</TotalTime>
  <Pages>5</Pages>
  <Words>1741</Words>
  <Characters>9576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Réunion Commission aménagement du Territoire du 16 janvier 2007</vt:lpstr>
    </vt:vector>
  </TitlesOfParts>
  <Company>Comics</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Commission aménagement du Territoire du 16 janvier 2007</dc:title>
  <dc:subject/>
  <dc:creator>Ph Moutet</dc:creator>
  <cp:keywords/>
  <cp:lastModifiedBy>Philippe Moutet</cp:lastModifiedBy>
  <cp:revision>5</cp:revision>
  <cp:lastPrinted>2019-05-21T12:24:00Z</cp:lastPrinted>
  <dcterms:created xsi:type="dcterms:W3CDTF">2021-09-20T09:25:00Z</dcterms:created>
  <dcterms:modified xsi:type="dcterms:W3CDTF">2021-09-20T10:06:00Z</dcterms:modified>
</cp:coreProperties>
</file>