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69C9" w14:textId="77777777" w:rsidR="00E751EB" w:rsidRDefault="00E247DA">
      <w:pPr>
        <w:spacing w:before="240" w:line="240" w:lineRule="auto"/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32EFB536" wp14:editId="3107ADD0">
            <wp:simplePos x="0" y="0"/>
            <wp:positionH relativeFrom="column">
              <wp:posOffset>-200024</wp:posOffset>
            </wp:positionH>
            <wp:positionV relativeFrom="paragraph">
              <wp:posOffset>409575</wp:posOffset>
            </wp:positionV>
            <wp:extent cx="1004888" cy="1157415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4888" cy="115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CBF446" w14:textId="77777777" w:rsidR="00E751EB" w:rsidRDefault="00E247DA">
      <w:pPr>
        <w:spacing w:before="240" w:line="240" w:lineRule="auto"/>
        <w:ind w:left="1417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Webinaire du jeudi 30 juin 2022 de 14h à 16h30</w:t>
      </w:r>
    </w:p>
    <w:p w14:paraId="5E66FA5F" w14:textId="77777777" w:rsidR="00E751EB" w:rsidRDefault="00E247DA">
      <w:pPr>
        <w:keepLines/>
        <w:spacing w:before="100" w:line="240" w:lineRule="auto"/>
        <w:ind w:left="720" w:right="-324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Animation : </w:t>
      </w:r>
      <w:proofErr w:type="spellStart"/>
      <w:r>
        <w:rPr>
          <w:sz w:val="20"/>
          <w:szCs w:val="20"/>
        </w:rPr>
        <w:t>Eric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Brua</w:t>
      </w:r>
      <w:proofErr w:type="spellEnd"/>
      <w:r>
        <w:rPr>
          <w:sz w:val="20"/>
          <w:szCs w:val="20"/>
        </w:rPr>
        <w:t>, directeur de la Fédération des Parcs</w:t>
      </w:r>
    </w:p>
    <w:p w14:paraId="2F9FE7AD" w14:textId="77777777" w:rsidR="00E751EB" w:rsidRDefault="00E247DA">
      <w:pPr>
        <w:spacing w:before="100" w:line="240" w:lineRule="auto"/>
        <w:ind w:left="1417" w:right="-324"/>
        <w:jc w:val="center"/>
        <w:rPr>
          <w:b/>
          <w:color w:val="007B54"/>
          <w:sz w:val="24"/>
          <w:szCs w:val="24"/>
        </w:rPr>
      </w:pPr>
      <w:r>
        <w:rPr>
          <w:b/>
          <w:color w:val="007B54"/>
          <w:sz w:val="24"/>
          <w:szCs w:val="24"/>
        </w:rPr>
        <w:t>Zéro Artificialisation Nette, le rôle des Parcs naturels régionaux.</w:t>
      </w:r>
    </w:p>
    <w:p w14:paraId="2487B788" w14:textId="77777777" w:rsidR="00E751EB" w:rsidRDefault="00E247DA">
      <w:pPr>
        <w:spacing w:before="100" w:line="240" w:lineRule="auto"/>
        <w:ind w:left="141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Du chiffre à la lettre :</w:t>
      </w:r>
    </w:p>
    <w:p w14:paraId="0598B487" w14:textId="77777777" w:rsidR="00E751EB" w:rsidRDefault="00E247DA">
      <w:pPr>
        <w:spacing w:line="240" w:lineRule="auto"/>
        <w:ind w:left="141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Comment mettre en œuvre l’esprit du texte ? </w:t>
      </w:r>
    </w:p>
    <w:p w14:paraId="4E524388" w14:textId="77777777" w:rsidR="00E751EB" w:rsidRDefault="00E247DA">
      <w:pPr>
        <w:spacing w:line="240" w:lineRule="auto"/>
        <w:ind w:left="1417"/>
        <w:jc w:val="center"/>
        <w:rPr>
          <w:rFonts w:ascii="Calibri" w:eastAsia="Calibri" w:hAnsi="Calibri" w:cs="Calibri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EA3CC33" wp14:editId="3CDD6684">
            <wp:simplePos x="0" y="0"/>
            <wp:positionH relativeFrom="column">
              <wp:posOffset>4305300</wp:posOffset>
            </wp:positionH>
            <wp:positionV relativeFrom="paragraph">
              <wp:posOffset>323850</wp:posOffset>
            </wp:positionV>
            <wp:extent cx="2000250" cy="1267023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t="7636" b="763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670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14B2B351" wp14:editId="2695EA57">
            <wp:simplePos x="0" y="0"/>
            <wp:positionH relativeFrom="column">
              <wp:posOffset>-200024</wp:posOffset>
            </wp:positionH>
            <wp:positionV relativeFrom="paragraph">
              <wp:posOffset>321816</wp:posOffset>
            </wp:positionV>
            <wp:extent cx="1934084" cy="1266825"/>
            <wp:effectExtent l="0" t="0" r="0" b="0"/>
            <wp:wrapNone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084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604BE31F" wp14:editId="5A54FC18">
            <wp:simplePos x="0" y="0"/>
            <wp:positionH relativeFrom="column">
              <wp:posOffset>2066925</wp:posOffset>
            </wp:positionH>
            <wp:positionV relativeFrom="paragraph">
              <wp:posOffset>323850</wp:posOffset>
            </wp:positionV>
            <wp:extent cx="1900238" cy="126682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238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F5A3DA" w14:textId="77777777" w:rsidR="00E751EB" w:rsidRDefault="00E247DA">
      <w:pPr>
        <w:spacing w:line="240" w:lineRule="auto"/>
        <w:ind w:left="141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1E9BCE2B" w14:textId="77777777" w:rsidR="00E751EB" w:rsidRDefault="00E751EB">
      <w:pPr>
        <w:spacing w:before="100" w:line="240" w:lineRule="auto"/>
        <w:ind w:left="1417"/>
        <w:jc w:val="center"/>
        <w:rPr>
          <w:rFonts w:ascii="Calibri" w:eastAsia="Calibri" w:hAnsi="Calibri" w:cs="Calibri"/>
          <w:sz w:val="28"/>
          <w:szCs w:val="28"/>
        </w:rPr>
      </w:pPr>
    </w:p>
    <w:p w14:paraId="5A4117A5" w14:textId="77777777" w:rsidR="00E751EB" w:rsidRDefault="00E751EB">
      <w:pPr>
        <w:spacing w:before="100" w:line="240" w:lineRule="auto"/>
        <w:ind w:left="1417"/>
        <w:jc w:val="center"/>
        <w:rPr>
          <w:rFonts w:ascii="Calibri" w:eastAsia="Calibri" w:hAnsi="Calibri" w:cs="Calibri"/>
          <w:sz w:val="28"/>
          <w:szCs w:val="28"/>
        </w:rPr>
      </w:pPr>
    </w:p>
    <w:p w14:paraId="0E34EE7C" w14:textId="77777777" w:rsidR="00E751EB" w:rsidRDefault="00E751EB">
      <w:pPr>
        <w:spacing w:before="100" w:line="240" w:lineRule="auto"/>
        <w:rPr>
          <w:rFonts w:ascii="Calibri" w:eastAsia="Calibri" w:hAnsi="Calibri" w:cs="Calibri"/>
          <w:sz w:val="28"/>
          <w:szCs w:val="28"/>
        </w:rPr>
      </w:pPr>
    </w:p>
    <w:p w14:paraId="1FADC0D9" w14:textId="77777777" w:rsidR="00E751EB" w:rsidRDefault="00E751EB">
      <w:pPr>
        <w:spacing w:before="240" w:line="240" w:lineRule="auto"/>
        <w:ind w:left="-283" w:right="-324"/>
        <w:rPr>
          <w:rFonts w:ascii="Calibri" w:eastAsia="Calibri" w:hAnsi="Calibri" w:cs="Calibri"/>
          <w:u w:val="single"/>
        </w:rPr>
      </w:pPr>
    </w:p>
    <w:p w14:paraId="67CC0857" w14:textId="77777777" w:rsidR="00E751EB" w:rsidRDefault="00E751EB">
      <w:pPr>
        <w:spacing w:line="240" w:lineRule="auto"/>
        <w:ind w:right="-324"/>
        <w:rPr>
          <w:rFonts w:ascii="Calibri" w:eastAsia="Calibri" w:hAnsi="Calibri" w:cs="Calibri"/>
          <w:u w:val="single"/>
        </w:rPr>
      </w:pPr>
    </w:p>
    <w:p w14:paraId="1968E4B3" w14:textId="625A41DD" w:rsidR="00E751EB" w:rsidRDefault="00E247DA">
      <w:pPr>
        <w:spacing w:line="240" w:lineRule="auto"/>
        <w:ind w:right="-324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</w:rPr>
        <w:t xml:space="preserve">         </w:t>
      </w:r>
      <w:r>
        <w:rPr>
          <w:rFonts w:ascii="Calibri" w:eastAsia="Calibri" w:hAnsi="Calibri" w:cs="Calibri"/>
          <w:sz w:val="10"/>
          <w:szCs w:val="10"/>
        </w:rPr>
        <w:t xml:space="preserve">       Saint </w:t>
      </w:r>
      <w:proofErr w:type="spellStart"/>
      <w:r>
        <w:rPr>
          <w:rFonts w:ascii="Calibri" w:eastAsia="Calibri" w:hAnsi="Calibri" w:cs="Calibri"/>
          <w:sz w:val="10"/>
          <w:szCs w:val="10"/>
        </w:rPr>
        <w:t>Cirq</w:t>
      </w:r>
      <w:proofErr w:type="spellEnd"/>
      <w:r>
        <w:rPr>
          <w:rFonts w:ascii="Calibri" w:eastAsia="Calibri" w:hAnsi="Calibri" w:cs="Calibri"/>
          <w:sz w:val="10"/>
          <w:szCs w:val="10"/>
        </w:rPr>
        <w:t xml:space="preserve"> </w:t>
      </w:r>
      <w:proofErr w:type="spellStart"/>
      <w:r>
        <w:rPr>
          <w:rFonts w:ascii="Calibri" w:eastAsia="Calibri" w:hAnsi="Calibri" w:cs="Calibri"/>
          <w:sz w:val="10"/>
          <w:szCs w:val="10"/>
        </w:rPr>
        <w:t>Lapopie</w:t>
      </w:r>
      <w:proofErr w:type="spellEnd"/>
      <w:r>
        <w:rPr>
          <w:rFonts w:ascii="Calibri" w:eastAsia="Calibri" w:hAnsi="Calibri" w:cs="Calibri"/>
          <w:sz w:val="10"/>
          <w:szCs w:val="10"/>
        </w:rPr>
        <w:t xml:space="preserve"> / Crédits PNRCQ                                                          </w:t>
      </w:r>
      <w:r>
        <w:rPr>
          <w:rFonts w:ascii="Calibri" w:eastAsia="Calibri" w:hAnsi="Calibri" w:cs="Calibri"/>
          <w:sz w:val="10"/>
          <w:szCs w:val="10"/>
        </w:rPr>
        <w:t xml:space="preserve">Montagne de Reims - vallée de la marne - </w:t>
      </w:r>
      <w:proofErr w:type="spellStart"/>
      <w:r>
        <w:rPr>
          <w:rFonts w:ascii="Calibri" w:eastAsia="Calibri" w:hAnsi="Calibri" w:cs="Calibri"/>
          <w:sz w:val="10"/>
          <w:szCs w:val="10"/>
        </w:rPr>
        <w:t>hautvillers</w:t>
      </w:r>
      <w:proofErr w:type="spellEnd"/>
      <w:r>
        <w:rPr>
          <w:rFonts w:ascii="Calibri" w:eastAsia="Calibri" w:hAnsi="Calibri" w:cs="Calibri"/>
          <w:sz w:val="10"/>
          <w:szCs w:val="10"/>
        </w:rPr>
        <w:t xml:space="preserve"> / Crédits PNRMR                                   </w:t>
      </w:r>
      <w:r>
        <w:rPr>
          <w:rFonts w:ascii="Calibri" w:eastAsia="Calibri" w:hAnsi="Calibri" w:cs="Calibri"/>
          <w:sz w:val="10"/>
          <w:szCs w:val="10"/>
        </w:rPr>
        <w:t>Champa</w:t>
      </w:r>
      <w:r>
        <w:rPr>
          <w:rFonts w:ascii="Calibri" w:eastAsia="Calibri" w:hAnsi="Calibri" w:cs="Calibri"/>
          <w:sz w:val="10"/>
          <w:szCs w:val="10"/>
        </w:rPr>
        <w:t>gne crayeuse en Forêt d’Orient / Crédits Pascal Bourguignon</w:t>
      </w:r>
    </w:p>
    <w:p w14:paraId="681A5A80" w14:textId="77777777" w:rsidR="00E751EB" w:rsidRDefault="00E247DA">
      <w:pPr>
        <w:spacing w:before="100" w:line="240" w:lineRule="auto"/>
        <w:ind w:left="-283" w:right="-32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007B54"/>
          <w:sz w:val="32"/>
          <w:szCs w:val="32"/>
          <w:u w:val="single"/>
        </w:rPr>
        <w:t>MOTS-CLÉS</w:t>
      </w:r>
      <w:r>
        <w:rPr>
          <w:rFonts w:ascii="Calibri" w:eastAsia="Calibri" w:hAnsi="Calibri" w:cs="Calibri"/>
          <w:color w:val="007B54"/>
          <w:sz w:val="32"/>
          <w:szCs w:val="32"/>
        </w:rPr>
        <w:t xml:space="preserve"> :</w:t>
      </w:r>
      <w:r>
        <w:rPr>
          <w:rFonts w:ascii="Calibri" w:eastAsia="Calibri" w:hAnsi="Calibri" w:cs="Calibri"/>
          <w:sz w:val="20"/>
          <w:szCs w:val="20"/>
        </w:rPr>
        <w:t xml:space="preserve"> Urbanisme, Architecture, Artificialisation, Paysage, Transitions</w:t>
      </w:r>
    </w:p>
    <w:p w14:paraId="560ED889" w14:textId="77777777" w:rsidR="00E751EB" w:rsidRDefault="00E247DA">
      <w:pPr>
        <w:spacing w:before="100" w:line="240" w:lineRule="auto"/>
        <w:ind w:left="-283" w:right="-32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007B54"/>
          <w:sz w:val="32"/>
          <w:szCs w:val="32"/>
          <w:u w:val="single"/>
        </w:rPr>
        <w:t>PUBLICS</w:t>
      </w:r>
      <w:r>
        <w:rPr>
          <w:rFonts w:ascii="Calibri" w:eastAsia="Calibri" w:hAnsi="Calibri" w:cs="Calibri"/>
          <w:color w:val="007B54"/>
          <w:sz w:val="32"/>
          <w:szCs w:val="32"/>
        </w:rPr>
        <w:t xml:space="preserve"> 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Président.e.s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et  </w:t>
      </w:r>
      <w:proofErr w:type="spellStart"/>
      <w:r>
        <w:rPr>
          <w:rFonts w:ascii="Calibri" w:eastAsia="Calibri" w:hAnsi="Calibri" w:cs="Calibri"/>
          <w:sz w:val="20"/>
          <w:szCs w:val="20"/>
        </w:rPr>
        <w:t>Directeur.e.s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Parc, partenaires des Parcs, Régions, </w:t>
      </w:r>
      <w:proofErr w:type="spellStart"/>
      <w:r>
        <w:rPr>
          <w:rFonts w:ascii="Calibri" w:eastAsia="Calibri" w:hAnsi="Calibri" w:cs="Calibri"/>
          <w:sz w:val="20"/>
          <w:szCs w:val="20"/>
        </w:rPr>
        <w:t>Etat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Technicien.ne.s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Parc</w:t>
      </w:r>
    </w:p>
    <w:p w14:paraId="1295D929" w14:textId="77777777" w:rsidR="00E751EB" w:rsidRDefault="00E247DA">
      <w:pPr>
        <w:spacing w:before="240" w:line="240" w:lineRule="auto"/>
        <w:ind w:left="-285" w:right="-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007B54"/>
          <w:sz w:val="32"/>
          <w:szCs w:val="32"/>
          <w:u w:val="single"/>
        </w:rPr>
        <w:t>PROBLÉMATIQUES</w:t>
      </w:r>
      <w:r>
        <w:rPr>
          <w:rFonts w:ascii="Calibri" w:eastAsia="Calibri" w:hAnsi="Calibri" w:cs="Calibri"/>
          <w:color w:val="007B54"/>
          <w:sz w:val="32"/>
          <w:szCs w:val="32"/>
        </w:rPr>
        <w:t xml:space="preserve"> : </w:t>
      </w:r>
      <w:r>
        <w:rPr>
          <w:rFonts w:ascii="Calibri" w:eastAsia="Calibri" w:hAnsi="Calibri" w:cs="Calibri"/>
          <w:sz w:val="20"/>
          <w:szCs w:val="20"/>
        </w:rPr>
        <w:t xml:space="preserve">Les décrets ZAN, une actualité dont s’emparent les </w:t>
      </w:r>
      <w:proofErr w:type="gramStart"/>
      <w:r>
        <w:rPr>
          <w:rFonts w:ascii="Calibri" w:eastAsia="Calibri" w:hAnsi="Calibri" w:cs="Calibri"/>
          <w:sz w:val="20"/>
          <w:szCs w:val="20"/>
        </w:rPr>
        <w:t>territoires  dont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les Parcs naturels régionaux qui s'apprêtent à débattre lors de le</w:t>
      </w:r>
      <w:r>
        <w:rPr>
          <w:rFonts w:ascii="Calibri" w:eastAsia="Calibri" w:hAnsi="Calibri" w:cs="Calibri"/>
          <w:sz w:val="20"/>
          <w:szCs w:val="20"/>
        </w:rPr>
        <w:t xml:space="preserve">ur prochain congrès le 19 octobre prochain afin de construire un positionnement et une contribution spécifiques sur ce thème. Ce webinaire participe à cette réflexion et ce cheminement. </w:t>
      </w:r>
    </w:p>
    <w:p w14:paraId="19B8C81F" w14:textId="77777777" w:rsidR="00E751EB" w:rsidRDefault="00E247DA">
      <w:pPr>
        <w:spacing w:before="240" w:line="240" w:lineRule="auto"/>
        <w:ind w:left="-285" w:right="-6"/>
        <w:jc w:val="both"/>
        <w:rPr>
          <w:rFonts w:ascii="Calibri" w:eastAsia="Calibri" w:hAnsi="Calibri" w:cs="Calibri"/>
          <w:b/>
          <w:color w:val="007B54"/>
          <w:sz w:val="32"/>
          <w:szCs w:val="32"/>
        </w:rPr>
      </w:pPr>
      <w:r>
        <w:rPr>
          <w:rFonts w:ascii="Calibri" w:eastAsia="Calibri" w:hAnsi="Calibri" w:cs="Calibri"/>
          <w:b/>
          <w:color w:val="007B54"/>
          <w:sz w:val="32"/>
          <w:szCs w:val="32"/>
          <w:u w:val="single"/>
        </w:rPr>
        <w:t xml:space="preserve">ORDRE DU JOUR </w:t>
      </w:r>
      <w:r>
        <w:rPr>
          <w:rFonts w:ascii="Calibri" w:eastAsia="Calibri" w:hAnsi="Calibri" w:cs="Calibri"/>
          <w:b/>
          <w:color w:val="007B54"/>
          <w:sz w:val="32"/>
          <w:szCs w:val="32"/>
        </w:rPr>
        <w:t xml:space="preserve">: </w:t>
      </w:r>
    </w:p>
    <w:p w14:paraId="60E21903" w14:textId="77777777" w:rsidR="00E751EB" w:rsidRDefault="00E247DA">
      <w:pPr>
        <w:numPr>
          <w:ilvl w:val="0"/>
          <w:numId w:val="1"/>
        </w:numPr>
        <w:spacing w:before="80" w:line="240" w:lineRule="auto"/>
        <w:ind w:right="-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Introduction </w:t>
      </w:r>
      <w:r>
        <w:rPr>
          <w:rFonts w:ascii="Calibri" w:eastAsia="Calibri" w:hAnsi="Calibri" w:cs="Calibri"/>
          <w:sz w:val="20"/>
          <w:szCs w:val="20"/>
        </w:rPr>
        <w:t xml:space="preserve">par Philippe </w:t>
      </w:r>
      <w:proofErr w:type="spellStart"/>
      <w:r>
        <w:rPr>
          <w:rFonts w:ascii="Calibri" w:eastAsia="Calibri" w:hAnsi="Calibri" w:cs="Calibri"/>
          <w:sz w:val="20"/>
          <w:szCs w:val="20"/>
        </w:rPr>
        <w:t>Gamen</w:t>
      </w:r>
      <w:proofErr w:type="spellEnd"/>
      <w:r>
        <w:rPr>
          <w:rFonts w:ascii="Calibri" w:eastAsia="Calibri" w:hAnsi="Calibri" w:cs="Calibri"/>
          <w:sz w:val="20"/>
          <w:szCs w:val="20"/>
        </w:rPr>
        <w:t>, 1</w:t>
      </w:r>
      <w:r>
        <w:rPr>
          <w:rFonts w:ascii="Calibri" w:eastAsia="Calibri" w:hAnsi="Calibri" w:cs="Calibri"/>
          <w:sz w:val="20"/>
          <w:szCs w:val="20"/>
          <w:vertAlign w:val="superscript"/>
        </w:rPr>
        <w:t>er</w:t>
      </w:r>
      <w:r>
        <w:rPr>
          <w:rFonts w:ascii="Calibri" w:eastAsia="Calibri" w:hAnsi="Calibri" w:cs="Calibri"/>
          <w:sz w:val="20"/>
          <w:szCs w:val="20"/>
        </w:rPr>
        <w:t xml:space="preserve"> vice-président </w:t>
      </w:r>
      <w:r>
        <w:rPr>
          <w:rFonts w:ascii="Calibri" w:eastAsia="Calibri" w:hAnsi="Calibri" w:cs="Calibri"/>
          <w:sz w:val="20"/>
          <w:szCs w:val="20"/>
        </w:rPr>
        <w:t>de la Fédération des Parcs naturels régionaux et président du Parc des Massif des Bauges ;</w:t>
      </w:r>
    </w:p>
    <w:p w14:paraId="5CE67A6E" w14:textId="77777777" w:rsidR="00E751EB" w:rsidRDefault="00E247DA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ZAN et participation - Présentation de l’Université populaire du cadre de vie des Parcs : comment impliquer les habitants des territoires ? </w:t>
      </w:r>
      <w:r>
        <w:rPr>
          <w:rFonts w:ascii="Calibri" w:eastAsia="Calibri" w:hAnsi="Calibri" w:cs="Calibri"/>
          <w:sz w:val="18"/>
          <w:szCs w:val="18"/>
        </w:rPr>
        <w:t>par Ophélie PEIRIN, FPNRF</w:t>
      </w:r>
      <w:r>
        <w:rPr>
          <w:rFonts w:ascii="Calibri" w:eastAsia="Calibri" w:hAnsi="Calibri" w:cs="Calibri"/>
          <w:sz w:val="18"/>
          <w:szCs w:val="18"/>
        </w:rPr>
        <w:t xml:space="preserve"> ;</w:t>
      </w:r>
    </w:p>
    <w:p w14:paraId="10F3AED9" w14:textId="77777777" w:rsidR="00E751EB" w:rsidRDefault="00E247DA">
      <w:pPr>
        <w:numPr>
          <w:ilvl w:val="0"/>
          <w:numId w:val="1"/>
        </w:numPr>
        <w:spacing w:line="240" w:lineRule="auto"/>
        <w:ind w:right="6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Réinvestir les centres-bourgs du Livradois-Forez pour contribuer à la trajectoire ZAN ? </w:t>
      </w:r>
      <w:r>
        <w:rPr>
          <w:rFonts w:ascii="Calibri" w:eastAsia="Calibri" w:hAnsi="Calibri" w:cs="Calibri"/>
          <w:sz w:val="20"/>
          <w:szCs w:val="20"/>
        </w:rPr>
        <w:t>par Claire Mallet-</w:t>
      </w:r>
      <w:proofErr w:type="spellStart"/>
      <w:r>
        <w:rPr>
          <w:rFonts w:ascii="Calibri" w:eastAsia="Calibri" w:hAnsi="Calibri" w:cs="Calibri"/>
          <w:sz w:val="20"/>
          <w:szCs w:val="20"/>
        </w:rPr>
        <w:t>Moriceau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urbaniste et Claire </w:t>
      </w:r>
      <w:proofErr w:type="spellStart"/>
      <w:r>
        <w:rPr>
          <w:rFonts w:ascii="Calibri" w:eastAsia="Calibri" w:hAnsi="Calibri" w:cs="Calibri"/>
          <w:sz w:val="20"/>
          <w:szCs w:val="20"/>
        </w:rPr>
        <w:t>Butty</w:t>
      </w:r>
      <w:proofErr w:type="spellEnd"/>
      <w:r>
        <w:rPr>
          <w:rFonts w:ascii="Calibri" w:eastAsia="Calibri" w:hAnsi="Calibri" w:cs="Calibri"/>
          <w:sz w:val="20"/>
          <w:szCs w:val="20"/>
        </w:rPr>
        <w:t>, chargée de mission centres-bourgs ;</w:t>
      </w:r>
    </w:p>
    <w:p w14:paraId="6F8768FC" w14:textId="77777777" w:rsidR="00E751EB" w:rsidRDefault="00E247DA">
      <w:pPr>
        <w:numPr>
          <w:ilvl w:val="0"/>
          <w:numId w:val="1"/>
        </w:numPr>
        <w:spacing w:line="240" w:lineRule="auto"/>
        <w:ind w:right="-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La plus-value spécifique des Parcs naturels régionaux </w:t>
      </w:r>
      <w:r>
        <w:rPr>
          <w:rFonts w:ascii="Calibri" w:eastAsia="Calibri" w:hAnsi="Calibri" w:cs="Calibri"/>
          <w:sz w:val="20"/>
          <w:szCs w:val="20"/>
        </w:rPr>
        <w:t xml:space="preserve">par Romain </w:t>
      </w:r>
      <w:proofErr w:type="spellStart"/>
      <w:r>
        <w:rPr>
          <w:rFonts w:ascii="Calibri" w:eastAsia="Calibri" w:hAnsi="Calibri" w:cs="Calibri"/>
          <w:sz w:val="20"/>
          <w:szCs w:val="20"/>
        </w:rPr>
        <w:t>Lajarge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</w:t>
      </w:r>
      <w:r>
        <w:rPr>
          <w:rFonts w:ascii="Calibri" w:eastAsia="Calibri" w:hAnsi="Calibri" w:cs="Calibri"/>
          <w:sz w:val="20"/>
          <w:szCs w:val="20"/>
        </w:rPr>
        <w:t>rofesseur à l’École nationale supérieure d’architecture de Grenoble / Université Grenoble Alpes ;</w:t>
      </w:r>
    </w:p>
    <w:p w14:paraId="38D3878E" w14:textId="77777777" w:rsidR="00E751EB" w:rsidRDefault="00E247DA">
      <w:pPr>
        <w:numPr>
          <w:ilvl w:val="0"/>
          <w:numId w:val="1"/>
        </w:numPr>
        <w:spacing w:line="240" w:lineRule="auto"/>
        <w:ind w:right="-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Savoir-faire et expérimentations des Parcs dans le traitement du Zéro Artificialisation Nette </w:t>
      </w:r>
      <w:r>
        <w:rPr>
          <w:rFonts w:ascii="Calibri" w:eastAsia="Calibri" w:hAnsi="Calibri" w:cs="Calibri"/>
          <w:sz w:val="20"/>
          <w:szCs w:val="20"/>
        </w:rPr>
        <w:t>par Sarah Ador, architecte.</w:t>
      </w:r>
    </w:p>
    <w:p w14:paraId="26041DBE" w14:textId="77777777" w:rsidR="00E751EB" w:rsidRDefault="00E247DA">
      <w:pPr>
        <w:spacing w:before="240" w:line="240" w:lineRule="auto"/>
        <w:ind w:left="-285" w:right="-6"/>
        <w:rPr>
          <w:rFonts w:ascii="Calibri" w:eastAsia="Calibri" w:hAnsi="Calibri" w:cs="Calibri"/>
          <w:color w:val="38761D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7B54"/>
          <w:sz w:val="32"/>
          <w:szCs w:val="32"/>
          <w:u w:val="single"/>
        </w:rPr>
        <w:t>POUR S’INSCRIRE</w:t>
      </w:r>
      <w:r>
        <w:rPr>
          <w:rFonts w:ascii="Calibri" w:eastAsia="Calibri" w:hAnsi="Calibri" w:cs="Calibri"/>
          <w:color w:val="007B54"/>
          <w:sz w:val="32"/>
          <w:szCs w:val="32"/>
        </w:rPr>
        <w:t xml:space="preserve"> :</w:t>
      </w:r>
      <w:r>
        <w:rPr>
          <w:rFonts w:ascii="Calibri" w:eastAsia="Calibri" w:hAnsi="Calibri" w:cs="Calibri"/>
          <w:color w:val="007B54"/>
          <w:sz w:val="20"/>
          <w:szCs w:val="20"/>
        </w:rPr>
        <w:t xml:space="preserve"> </w:t>
      </w:r>
      <w:hyperlink r:id="rId9">
        <w:r>
          <w:rPr>
            <w:rFonts w:ascii="Calibri" w:eastAsia="Calibri" w:hAnsi="Calibri" w:cs="Calibri"/>
            <w:b/>
            <w:color w:val="38761D"/>
            <w:sz w:val="32"/>
            <w:szCs w:val="32"/>
            <w:u w:val="single"/>
          </w:rPr>
          <w:t>I</w:t>
        </w:r>
        <w:r>
          <w:rPr>
            <w:rFonts w:ascii="Calibri" w:eastAsia="Calibri" w:hAnsi="Calibri" w:cs="Calibri"/>
            <w:b/>
            <w:color w:val="38761D"/>
            <w:sz w:val="32"/>
            <w:szCs w:val="32"/>
            <w:u w:val="single"/>
          </w:rPr>
          <w:t>C</w:t>
        </w:r>
        <w:r>
          <w:rPr>
            <w:rFonts w:ascii="Calibri" w:eastAsia="Calibri" w:hAnsi="Calibri" w:cs="Calibri"/>
            <w:b/>
            <w:color w:val="38761D"/>
            <w:sz w:val="32"/>
            <w:szCs w:val="32"/>
            <w:u w:val="single"/>
          </w:rPr>
          <w:t>I</w:t>
        </w:r>
      </w:hyperlink>
    </w:p>
    <w:p w14:paraId="06F5BC9F" w14:textId="77777777" w:rsidR="00E751EB" w:rsidRDefault="00E247DA">
      <w:pPr>
        <w:spacing w:before="240" w:line="240" w:lineRule="auto"/>
        <w:ind w:left="-285" w:right="-6"/>
        <w:jc w:val="both"/>
        <w:rPr>
          <w:rFonts w:ascii="Calibri" w:eastAsia="Calibri" w:hAnsi="Calibri" w:cs="Calibri"/>
          <w:color w:val="007B54"/>
          <w:sz w:val="32"/>
          <w:szCs w:val="32"/>
        </w:rPr>
      </w:pPr>
      <w:r>
        <w:rPr>
          <w:rFonts w:ascii="Calibri" w:eastAsia="Calibri" w:hAnsi="Calibri" w:cs="Calibri"/>
          <w:b/>
          <w:color w:val="007B54"/>
          <w:sz w:val="32"/>
          <w:szCs w:val="32"/>
          <w:u w:val="single"/>
        </w:rPr>
        <w:t>FOND DOCUMENTAIRE</w:t>
      </w:r>
      <w:r>
        <w:rPr>
          <w:rFonts w:ascii="Calibri" w:eastAsia="Calibri" w:hAnsi="Calibri" w:cs="Calibri"/>
          <w:color w:val="007B54"/>
          <w:sz w:val="32"/>
          <w:szCs w:val="32"/>
        </w:rPr>
        <w:t xml:space="preserve"> :</w:t>
      </w:r>
    </w:p>
    <w:p w14:paraId="1C51D4E3" w14:textId="77777777" w:rsidR="00E751EB" w:rsidRDefault="00E247DA">
      <w:pPr>
        <w:keepLines/>
        <w:numPr>
          <w:ilvl w:val="0"/>
          <w:numId w:val="3"/>
        </w:numPr>
        <w:spacing w:before="100" w:line="240" w:lineRule="auto"/>
        <w:ind w:left="141" w:right="-324" w:firstLine="28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Portail de l’artificialisation des sols (</w:t>
      </w:r>
      <w:proofErr w:type="spellStart"/>
      <w:r>
        <w:rPr>
          <w:rFonts w:ascii="Calibri" w:eastAsia="Calibri" w:hAnsi="Calibri" w:cs="Calibri"/>
          <w:sz w:val="20"/>
          <w:szCs w:val="20"/>
        </w:rPr>
        <w:t>Cerema</w:t>
      </w:r>
      <w:proofErr w:type="spellEnd"/>
      <w:r>
        <w:rPr>
          <w:rFonts w:ascii="Calibri" w:eastAsia="Calibri" w:hAnsi="Calibri" w:cs="Calibri"/>
          <w:sz w:val="20"/>
          <w:szCs w:val="20"/>
        </w:rPr>
        <w:t>) :</w:t>
      </w:r>
      <w:hyperlink r:id="rId10">
        <w:r>
          <w:rPr>
            <w:rFonts w:ascii="Calibri" w:eastAsia="Calibri" w:hAnsi="Calibri" w:cs="Calibri"/>
            <w:sz w:val="20"/>
            <w:szCs w:val="20"/>
          </w:rPr>
          <w:t xml:space="preserve"> </w:t>
        </w:r>
      </w:hyperlink>
      <w:hyperlink r:id="rId11">
        <w:r>
          <w:rPr>
            <w:rFonts w:ascii="Calibri" w:eastAsia="Calibri" w:hAnsi="Calibri" w:cs="Calibri"/>
            <w:color w:val="007B54"/>
            <w:sz w:val="20"/>
            <w:szCs w:val="20"/>
            <w:u w:val="single"/>
          </w:rPr>
          <w:t>ici</w:t>
        </w:r>
      </w:hyperlink>
    </w:p>
    <w:p w14:paraId="0A60D9FE" w14:textId="77777777" w:rsidR="00E751EB" w:rsidRDefault="00E247DA">
      <w:pPr>
        <w:keepLines/>
        <w:numPr>
          <w:ilvl w:val="0"/>
          <w:numId w:val="3"/>
        </w:numPr>
        <w:spacing w:line="240" w:lineRule="auto"/>
        <w:ind w:left="141" w:right="-324" w:firstLine="28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Objectif ZAN : Le projet de développement local, un levier de sobriété foncière, Sarah Ador :</w:t>
      </w:r>
      <w:hyperlink r:id="rId12">
        <w:r>
          <w:rPr>
            <w:rFonts w:ascii="Calibri" w:eastAsia="Calibri" w:hAnsi="Calibri" w:cs="Calibri"/>
            <w:sz w:val="20"/>
            <w:szCs w:val="20"/>
          </w:rPr>
          <w:t xml:space="preserve"> </w:t>
        </w:r>
      </w:hyperlink>
      <w:hyperlink r:id="rId13">
        <w:r>
          <w:rPr>
            <w:rFonts w:ascii="Calibri" w:eastAsia="Calibri" w:hAnsi="Calibri" w:cs="Calibri"/>
            <w:color w:val="007B54"/>
            <w:sz w:val="20"/>
            <w:szCs w:val="20"/>
            <w:u w:val="single"/>
          </w:rPr>
          <w:t>ici</w:t>
        </w:r>
      </w:hyperlink>
    </w:p>
    <w:p w14:paraId="40978A5D" w14:textId="77777777" w:rsidR="00E751EB" w:rsidRDefault="00E247DA">
      <w:pPr>
        <w:keepLines/>
        <w:numPr>
          <w:ilvl w:val="0"/>
          <w:numId w:val="3"/>
        </w:numPr>
        <w:spacing w:line="240" w:lineRule="auto"/>
        <w:ind w:left="141" w:right="-324" w:firstLine="28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Valeur Spécifique de l’action des Parcs naturels régionaux, Romain </w:t>
      </w:r>
      <w:proofErr w:type="spellStart"/>
      <w:r>
        <w:rPr>
          <w:rFonts w:ascii="Calibri" w:eastAsia="Calibri" w:hAnsi="Calibri" w:cs="Calibri"/>
          <w:sz w:val="20"/>
          <w:szCs w:val="20"/>
        </w:rPr>
        <w:t>Lajarge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et Anne </w:t>
      </w:r>
      <w:proofErr w:type="spellStart"/>
      <w:r>
        <w:rPr>
          <w:rFonts w:ascii="Calibri" w:eastAsia="Calibri" w:hAnsi="Calibri" w:cs="Calibri"/>
          <w:sz w:val="20"/>
          <w:szCs w:val="20"/>
        </w:rPr>
        <w:t>Pisot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: </w:t>
      </w:r>
      <w:hyperlink r:id="rId14">
        <w:r>
          <w:rPr>
            <w:rFonts w:ascii="Calibri" w:eastAsia="Calibri" w:hAnsi="Calibri" w:cs="Calibri"/>
            <w:color w:val="007B54"/>
            <w:sz w:val="20"/>
            <w:szCs w:val="20"/>
            <w:u w:val="single"/>
          </w:rPr>
          <w:t>ici</w:t>
        </w:r>
      </w:hyperlink>
    </w:p>
    <w:p w14:paraId="10A3E841" w14:textId="77777777" w:rsidR="00E751EB" w:rsidRDefault="00E247DA">
      <w:pPr>
        <w:keepLines/>
        <w:numPr>
          <w:ilvl w:val="0"/>
          <w:numId w:val="3"/>
        </w:numPr>
        <w:spacing w:line="240" w:lineRule="auto"/>
        <w:ind w:left="141" w:right="-324" w:firstLine="28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Webinaire 2021 : Zéro Artificialisation Nette, après la loi climat :</w:t>
      </w:r>
      <w:hyperlink r:id="rId15">
        <w:r>
          <w:rPr>
            <w:rFonts w:ascii="Calibri" w:eastAsia="Calibri" w:hAnsi="Calibri" w:cs="Calibri"/>
            <w:color w:val="007B54"/>
            <w:sz w:val="20"/>
            <w:szCs w:val="20"/>
          </w:rPr>
          <w:t xml:space="preserve"> </w:t>
        </w:r>
      </w:hyperlink>
      <w:hyperlink r:id="rId16">
        <w:r>
          <w:rPr>
            <w:rFonts w:ascii="Calibri" w:eastAsia="Calibri" w:hAnsi="Calibri" w:cs="Calibri"/>
            <w:color w:val="007B54"/>
            <w:sz w:val="20"/>
            <w:szCs w:val="20"/>
            <w:u w:val="single"/>
          </w:rPr>
          <w:t>ici</w:t>
        </w:r>
      </w:hyperlink>
    </w:p>
    <w:p w14:paraId="7B11D09D" w14:textId="77777777" w:rsidR="00E751EB" w:rsidRDefault="00E247DA">
      <w:pPr>
        <w:keepLines/>
        <w:numPr>
          <w:ilvl w:val="0"/>
          <w:numId w:val="3"/>
        </w:numPr>
        <w:spacing w:line="240" w:lineRule="auto"/>
        <w:ind w:left="141" w:right="-324" w:firstLine="28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highlight w:val="white"/>
        </w:rPr>
        <w:t>es décrets à la consultation du public sont :</w:t>
      </w:r>
    </w:p>
    <w:p w14:paraId="757D106B" w14:textId="77777777" w:rsidR="00E751EB" w:rsidRDefault="00E247DA">
      <w:pPr>
        <w:keepLines/>
        <w:numPr>
          <w:ilvl w:val="0"/>
          <w:numId w:val="2"/>
        </w:numPr>
        <w:spacing w:line="240" w:lineRule="auto"/>
        <w:ind w:right="-324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La consultation Projet de décret relatif aux objectifs et aux règles générales en matière de gestion économe de l’espace et de lutte contr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e l’artificialisation des sols du schéma régional d’aménagement, de développement durable et d’égalité des territoires est ouverte sur le site Internet du Ministère de la Transition écologique. </w:t>
      </w:r>
      <w:hyperlink r:id="rId17">
        <w:proofErr w:type="gramStart"/>
        <w:r>
          <w:rPr>
            <w:rFonts w:ascii="Calibri" w:eastAsia="Calibri" w:hAnsi="Calibri" w:cs="Calibri"/>
            <w:color w:val="007B54"/>
            <w:sz w:val="20"/>
            <w:szCs w:val="20"/>
            <w:highlight w:val="white"/>
            <w:u w:val="single"/>
          </w:rPr>
          <w:t>ici</w:t>
        </w:r>
        <w:proofErr w:type="gramEnd"/>
      </w:hyperlink>
    </w:p>
    <w:p w14:paraId="59EBBC99" w14:textId="77777777" w:rsidR="00E751EB" w:rsidRDefault="00E247DA">
      <w:pPr>
        <w:keepLines/>
        <w:numPr>
          <w:ilvl w:val="0"/>
          <w:numId w:val="2"/>
        </w:numPr>
        <w:spacing w:line="240" w:lineRule="auto"/>
        <w:ind w:right="-324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 xml:space="preserve">La consultation Projet de décret relatif au rapport local de suivi de l’artificialisation des sols est ouverte sur le site Internet du Ministère de la Transition écologique. </w:t>
      </w:r>
      <w:hyperlink r:id="rId18">
        <w:proofErr w:type="gramStart"/>
        <w:r>
          <w:rPr>
            <w:rFonts w:ascii="Calibri" w:eastAsia="Calibri" w:hAnsi="Calibri" w:cs="Calibri"/>
            <w:color w:val="007B54"/>
            <w:sz w:val="20"/>
            <w:szCs w:val="20"/>
            <w:highlight w:val="white"/>
            <w:u w:val="single"/>
          </w:rPr>
          <w:t>ici</w:t>
        </w:r>
        <w:proofErr w:type="gramEnd"/>
      </w:hyperlink>
    </w:p>
    <w:p w14:paraId="43AF30CB" w14:textId="77777777" w:rsidR="00E751EB" w:rsidRDefault="00E247DA">
      <w:pPr>
        <w:keepLines/>
        <w:numPr>
          <w:ilvl w:val="0"/>
          <w:numId w:val="2"/>
        </w:numPr>
        <w:spacing w:line="240" w:lineRule="auto"/>
        <w:ind w:right="-324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La consultation Projet de décret relatif à la nomenclature de l’artificialisation des sols pour la fixation et le suivi des objectifs dans les docum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ents de planification et d’urbanisme est ouverte sur le site Internet du Ministère de la Transition écologique. </w:t>
      </w:r>
      <w:hyperlink r:id="rId19">
        <w:proofErr w:type="gramStart"/>
        <w:r>
          <w:rPr>
            <w:rFonts w:ascii="Calibri" w:eastAsia="Calibri" w:hAnsi="Calibri" w:cs="Calibri"/>
            <w:color w:val="007B54"/>
            <w:sz w:val="20"/>
            <w:szCs w:val="20"/>
            <w:highlight w:val="white"/>
            <w:u w:val="single"/>
          </w:rPr>
          <w:t>ici</w:t>
        </w:r>
        <w:proofErr w:type="gramEnd"/>
      </w:hyperlink>
    </w:p>
    <w:sectPr w:rsidR="00E751EB">
      <w:pgSz w:w="11909" w:h="16834"/>
      <w:pgMar w:top="0" w:right="848" w:bottom="687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5B80"/>
    <w:multiLevelType w:val="multilevel"/>
    <w:tmpl w:val="FBE40D9C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FD82629"/>
    <w:multiLevelType w:val="multilevel"/>
    <w:tmpl w:val="4A701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375FA3"/>
    <w:multiLevelType w:val="multilevel"/>
    <w:tmpl w:val="85883C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EB"/>
    <w:rsid w:val="00E247DA"/>
    <w:rsid w:val="00E7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A2108B"/>
  <w15:docId w15:val="{C08EFFEA-4441-BE43-92C1-676215A7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s://www.parcs-naturels-regionaux.fr/system/files/document/commission/Rapport%20ZAN%20-%20janvier%202021_0.pdf" TargetMode="External"/><Relationship Id="rId18" Type="http://schemas.openxmlformats.org/officeDocument/2006/relationships/hyperlink" Target="http://www.consultations-publiques.developpement-durable.gouv.fr/spip.php?page=article&amp;id_article=261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hyperlink" Target="https://www.parcs-naturels-regionaux.fr/system/files/document/commission/Rapport%20ZAN%20-%20janvier%202021_0.pdf" TargetMode="External"/><Relationship Id="rId17" Type="http://schemas.openxmlformats.org/officeDocument/2006/relationships/hyperlink" Target="http://www.consultations-publiques.developpement-durable.gouv.fr/spip.php?page=article&amp;id_article=26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rcs-naturels-regionaux.fr/sites/federationpnr/files/document/centre_de_ressources/Synth%C3%A8se%20de%20Webinaire%20ZAN%20apr%C3%A8s%20Loi%20Climat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artificialisation.developpement-durable.gouv.fr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parcs-naturels-regionaux.fr/sites/federationpnr/files/document/centre_de_ressources/Synth%C3%A8se%20de%20Webinaire%20ZAN%20apr%C3%A8s%20Loi%20Climat.pdf" TargetMode="External"/><Relationship Id="rId10" Type="http://schemas.openxmlformats.org/officeDocument/2006/relationships/hyperlink" Target="https://artificialisation.developpement-durable.gouv.fr/" TargetMode="External"/><Relationship Id="rId19" Type="http://schemas.openxmlformats.org/officeDocument/2006/relationships/hyperlink" Target="http://www.consultations-publiques.developpement-durable.gouv.fr/spip.php?page=article&amp;id_article=2614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cs-naturels-regionaux.fr/la-federation/zan-et-parcs-naturels-regionaux" TargetMode="External"/><Relationship Id="rId14" Type="http://schemas.openxmlformats.org/officeDocument/2006/relationships/hyperlink" Target="https://www.parcs-naturels-regionaux.fr/mediatheque/ressources/valeur-specifique-de-laction-des-parcs-naturels-regionau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684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Nicolas Sanaa</cp:lastModifiedBy>
  <cp:revision>2</cp:revision>
  <dcterms:created xsi:type="dcterms:W3CDTF">2022-05-25T16:18:00Z</dcterms:created>
  <dcterms:modified xsi:type="dcterms:W3CDTF">2022-05-25T16:20:00Z</dcterms:modified>
</cp:coreProperties>
</file>