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69" w:rsidRPr="00862869" w:rsidRDefault="00862869" w:rsidP="00862869">
      <w:pPr>
        <w:shd w:val="clear" w:color="auto" w:fill="FFFFFF"/>
        <w:spacing w:after="100" w:afterAutospacing="1" w:line="240" w:lineRule="auto"/>
        <w:rPr>
          <w:rFonts w:ascii="Helvetica" w:eastAsia="Times New Roman" w:hAnsi="Helvetica" w:cs="Helvetica"/>
          <w:b/>
          <w:bCs/>
          <w:color w:val="1B1D1B"/>
          <w:sz w:val="23"/>
          <w:szCs w:val="23"/>
          <w:lang w:eastAsia="fr-FR"/>
        </w:rPr>
      </w:pPr>
      <w:r w:rsidRPr="00862869">
        <w:rPr>
          <w:rFonts w:ascii="Helvetica" w:eastAsia="Times New Roman" w:hAnsi="Helvetica" w:cs="Helvetica"/>
          <w:b/>
          <w:bCs/>
          <w:color w:val="1B1D1B"/>
          <w:sz w:val="23"/>
          <w:szCs w:val="23"/>
          <w:lang w:eastAsia="fr-FR"/>
        </w:rPr>
        <w:t>La Collectivité européenne d’Alsace recherche :</w:t>
      </w:r>
    </w:p>
    <w:p w:rsidR="00862869" w:rsidRPr="00862869" w:rsidRDefault="00862869" w:rsidP="00862869">
      <w:pPr>
        <w:shd w:val="clear" w:color="auto" w:fill="FFFFFF"/>
        <w:spacing w:after="100" w:afterAutospacing="1" w:line="240" w:lineRule="auto"/>
        <w:rPr>
          <w:rFonts w:ascii="Helvetica" w:eastAsia="Times New Roman" w:hAnsi="Helvetica" w:cs="Helvetica"/>
          <w:color w:val="164193"/>
          <w:sz w:val="24"/>
          <w:szCs w:val="24"/>
          <w:lang w:eastAsia="fr-FR"/>
        </w:rPr>
      </w:pPr>
      <w:r w:rsidRPr="00862869">
        <w:rPr>
          <w:rFonts w:ascii="Helvetica" w:eastAsia="Times New Roman" w:hAnsi="Helvetica" w:cs="Helvetica"/>
          <w:color w:val="164193"/>
          <w:sz w:val="24"/>
          <w:szCs w:val="24"/>
          <w:lang w:eastAsia="fr-FR"/>
        </w:rPr>
        <w:t>VALORISATION DES ARBRES REMARQUABLES ALSACIENS</w:t>
      </w:r>
      <w:r w:rsidRPr="00862869">
        <w:rPr>
          <w:rFonts w:ascii="Helvetica" w:eastAsia="Times New Roman" w:hAnsi="Helvetica" w:cs="Helvetica"/>
          <w:color w:val="164193"/>
          <w:sz w:val="24"/>
          <w:szCs w:val="24"/>
          <w:lang w:eastAsia="fr-FR"/>
        </w:rPr>
        <w:br/>
      </w:r>
      <w:bookmarkStart w:id="0" w:name="_GoBack"/>
      <w:r w:rsidRPr="00862869">
        <w:rPr>
          <w:rFonts w:ascii="Helvetica" w:eastAsia="Times New Roman" w:hAnsi="Helvetica" w:cs="Helvetica"/>
          <w:color w:val="164193"/>
          <w:sz w:val="24"/>
          <w:szCs w:val="24"/>
          <w:lang w:eastAsia="fr-FR"/>
        </w:rPr>
        <w:t>Au sein de la Direction de l'Environnement et de l'Agriculture</w:t>
      </w:r>
      <w:r w:rsidRPr="00862869">
        <w:rPr>
          <w:rFonts w:ascii="Helvetica" w:eastAsia="Times New Roman" w:hAnsi="Helvetica" w:cs="Helvetica"/>
          <w:color w:val="164193"/>
          <w:sz w:val="24"/>
          <w:szCs w:val="24"/>
          <w:lang w:eastAsia="fr-FR"/>
        </w:rPr>
        <w:br/>
        <w:t>Protection et valorisation du patrimoine naturel – sensibilisation du public et des collèges sur cette thématique</w:t>
      </w:r>
      <w:bookmarkEnd w:id="0"/>
    </w:p>
    <w:p w:rsidR="00862869" w:rsidRPr="00862869" w:rsidRDefault="00862869" w:rsidP="00862869">
      <w:pPr>
        <w:shd w:val="clear" w:color="auto" w:fill="FFFFFF"/>
        <w:spacing w:after="100" w:afterAutospacing="1" w:line="240" w:lineRule="auto"/>
        <w:outlineLvl w:val="1"/>
        <w:rPr>
          <w:rFonts w:ascii="Helvetica" w:eastAsia="Times New Roman" w:hAnsi="Helvetica" w:cs="Helvetica"/>
          <w:color w:val="164193"/>
          <w:sz w:val="36"/>
          <w:szCs w:val="36"/>
          <w:lang w:eastAsia="fr-FR"/>
        </w:rPr>
      </w:pPr>
      <w:r w:rsidRPr="00862869">
        <w:rPr>
          <w:rFonts w:ascii="Helvetica" w:eastAsia="Times New Roman" w:hAnsi="Helvetica" w:cs="Helvetica"/>
          <w:color w:val="164193"/>
          <w:sz w:val="36"/>
          <w:szCs w:val="36"/>
          <w:lang w:eastAsia="fr-FR"/>
        </w:rPr>
        <w:t>Missions</w:t>
      </w:r>
    </w:p>
    <w:p w:rsidR="00862869" w:rsidRPr="00862869" w:rsidRDefault="00862869" w:rsidP="00862869">
      <w:pPr>
        <w:shd w:val="clear" w:color="auto" w:fill="FFFFFF"/>
        <w:spacing w:after="0" w:line="240" w:lineRule="auto"/>
        <w:rPr>
          <w:rFonts w:ascii="Helvetica" w:eastAsia="Times New Roman" w:hAnsi="Helvetica" w:cs="Helvetica"/>
          <w:color w:val="1B1D1B"/>
          <w:sz w:val="23"/>
          <w:szCs w:val="23"/>
          <w:lang w:eastAsia="fr-FR"/>
        </w:rPr>
      </w:pPr>
      <w:r w:rsidRPr="00862869">
        <w:rPr>
          <w:rFonts w:ascii="Helvetica" w:eastAsia="Times New Roman" w:hAnsi="Helvetica" w:cs="Helvetica"/>
          <w:color w:val="1B1D1B"/>
          <w:sz w:val="23"/>
          <w:szCs w:val="23"/>
          <w:lang w:eastAsia="fr-FR"/>
        </w:rPr>
        <w:t>La Direction Générale Adjointe Environnement de la Collectivité européenne d’Alsace est composée de deux directions opérationnelles (la Direction des Routes, des Infrastructures et des Mobilités (DRIM) et la Direction de l’Environnement et de l’Agriculture) et d’une direction appui et pilotage ; elle pilote également les grands projets immobiliers de la collectivité en lien fonctionnel avec la Direction de l’Immobilier.</w:t>
      </w:r>
      <w:r w:rsidRPr="00862869">
        <w:rPr>
          <w:rFonts w:ascii="Helvetica" w:eastAsia="Times New Roman" w:hAnsi="Helvetica" w:cs="Helvetica"/>
          <w:color w:val="1B1D1B"/>
          <w:sz w:val="23"/>
          <w:szCs w:val="23"/>
          <w:lang w:eastAsia="fr-FR"/>
        </w:rPr>
        <w:br/>
      </w:r>
      <w:r w:rsidRPr="00862869">
        <w:rPr>
          <w:rFonts w:ascii="Helvetica" w:eastAsia="Times New Roman" w:hAnsi="Helvetica" w:cs="Helvetica"/>
          <w:color w:val="1B1D1B"/>
          <w:sz w:val="23"/>
          <w:szCs w:val="23"/>
          <w:lang w:eastAsia="fr-FR"/>
        </w:rPr>
        <w:br/>
        <w:t>La DGA Environnement développe la politique de mobilité de la collectivité et assure la gestion d’un réseau routier de 6 410 km composé de routes et d’autoroutes ; la Direction des Routes s’appuie sur 35 centres d’entretien et d’intervention répartis sur l’ensemble du territoire alsacien et plus de 1 000 agents exerçant divers métiers essentiellement en territoire. La gestion du domaine public routier départemental et national alsacien l’amène aujourd’hui à traiter les enjeux de trafic routier via une réflexion sur le déploiement d’une taxation du transit des poids-lourds (projet R-</w:t>
      </w:r>
      <w:proofErr w:type="spellStart"/>
      <w:r w:rsidRPr="00862869">
        <w:rPr>
          <w:rFonts w:ascii="Helvetica" w:eastAsia="Times New Roman" w:hAnsi="Helvetica" w:cs="Helvetica"/>
          <w:color w:val="1B1D1B"/>
          <w:sz w:val="23"/>
          <w:szCs w:val="23"/>
          <w:lang w:eastAsia="fr-FR"/>
        </w:rPr>
        <w:t>Pass</w:t>
      </w:r>
      <w:proofErr w:type="spellEnd"/>
      <w:r w:rsidRPr="00862869">
        <w:rPr>
          <w:rFonts w:ascii="Helvetica" w:eastAsia="Times New Roman" w:hAnsi="Helvetica" w:cs="Helvetica"/>
          <w:color w:val="1B1D1B"/>
          <w:sz w:val="23"/>
          <w:szCs w:val="23"/>
          <w:lang w:eastAsia="fr-FR"/>
        </w:rPr>
        <w:t>).</w:t>
      </w:r>
      <w:r w:rsidRPr="00862869">
        <w:rPr>
          <w:rFonts w:ascii="Helvetica" w:eastAsia="Times New Roman" w:hAnsi="Helvetica" w:cs="Helvetica"/>
          <w:color w:val="1B1D1B"/>
          <w:sz w:val="23"/>
          <w:szCs w:val="23"/>
          <w:lang w:eastAsia="fr-FR"/>
        </w:rPr>
        <w:br/>
      </w:r>
      <w:r w:rsidRPr="00862869">
        <w:rPr>
          <w:rFonts w:ascii="Helvetica" w:eastAsia="Times New Roman" w:hAnsi="Helvetica" w:cs="Helvetica"/>
          <w:color w:val="1B1D1B"/>
          <w:sz w:val="23"/>
          <w:szCs w:val="23"/>
          <w:lang w:eastAsia="fr-FR"/>
        </w:rPr>
        <w:br/>
        <w:t>Concernant les domaines de l’Agriculture et de l’Environnement, la DGA Environnement contribue à la stratégie globale de transition de la collectivité, dont notamment la transition énergétique et écologique. Elle assure la gestion d’un patrimoine hydraulique significatif (barrages, canaux…) et prend en compte les enjeux liés à l’urgence climatique pour assurer un aménagement foncier et un développement durable des territoires. La CeA est ainsi un acteur majeur de l’environnement en Alsace, particulièrement dans le domaine de l’eau et des espaces naturels sensibles, mais également en soutien au monde agricole et aux circuits courts alimentaires.</w:t>
      </w:r>
      <w:r w:rsidRPr="00862869">
        <w:rPr>
          <w:rFonts w:ascii="Helvetica" w:eastAsia="Times New Roman" w:hAnsi="Helvetica" w:cs="Helvetica"/>
          <w:color w:val="1B1D1B"/>
          <w:sz w:val="23"/>
          <w:szCs w:val="23"/>
          <w:lang w:eastAsia="fr-FR"/>
        </w:rPr>
        <w:br/>
      </w:r>
      <w:r w:rsidRPr="00862869">
        <w:rPr>
          <w:rFonts w:ascii="Helvetica" w:eastAsia="Times New Roman" w:hAnsi="Helvetica" w:cs="Helvetica"/>
          <w:color w:val="1B1D1B"/>
          <w:sz w:val="23"/>
          <w:szCs w:val="23"/>
          <w:lang w:eastAsia="fr-FR"/>
        </w:rPr>
        <w:br/>
        <w:t>Le pilotage stratégique de grands projets permet notamment de mettre en pratique des enjeux de transition et d’accompagner les utilisateurs (agents de la collectivité, collégiens, usagers d’équipements culturels ou sociaux) dans la gestion, l’utilisation et la visite de bâtiments performants et durables, maillant le territoire alsacien et répondant aux besoins d’un service public de qualité et de proximité.</w:t>
      </w:r>
      <w:r w:rsidRPr="00862869">
        <w:rPr>
          <w:rFonts w:ascii="Helvetica" w:eastAsia="Times New Roman" w:hAnsi="Helvetica" w:cs="Helvetica"/>
          <w:color w:val="1B1D1B"/>
          <w:sz w:val="23"/>
          <w:szCs w:val="23"/>
          <w:lang w:eastAsia="fr-FR"/>
        </w:rPr>
        <w:br/>
      </w:r>
    </w:p>
    <w:p w:rsidR="00862869" w:rsidRPr="00862869" w:rsidRDefault="00862869" w:rsidP="00862869">
      <w:pPr>
        <w:shd w:val="clear" w:color="auto" w:fill="FFFFFF"/>
        <w:spacing w:after="0" w:line="240" w:lineRule="auto"/>
        <w:rPr>
          <w:rFonts w:ascii="Helvetica" w:eastAsia="Times New Roman" w:hAnsi="Helvetica" w:cs="Helvetica"/>
          <w:color w:val="1B1D1B"/>
          <w:sz w:val="23"/>
          <w:szCs w:val="23"/>
          <w:lang w:eastAsia="fr-FR"/>
        </w:rPr>
      </w:pPr>
      <w:r w:rsidRPr="00862869">
        <w:rPr>
          <w:rFonts w:ascii="Helvetica" w:eastAsia="Times New Roman" w:hAnsi="Helvetica" w:cs="Helvetica"/>
          <w:color w:val="1B1D1B"/>
          <w:sz w:val="23"/>
          <w:szCs w:val="23"/>
          <w:lang w:eastAsia="fr-FR"/>
        </w:rPr>
        <w:t>La Direction de l’Environnement et de l’Agriculture de la Collectivité européenne d’Alsace, forte de près de 100 agents, contribue à répondre aux enjeux liés à l’urgence climatique et au développement durable des territoires. La CeA est un acteur majeur de l’environnement en Alsace, particulièrement dans le domaine de l’eau et des espaces naturels sensibles. Elle est propriétaire des sites naturels les plus emblématiques d’Alsace et elle garantit la préservation de près de 1800 ha d’habitats remarquables.</w:t>
      </w:r>
      <w:r w:rsidRPr="00862869">
        <w:rPr>
          <w:rFonts w:ascii="Helvetica" w:eastAsia="Times New Roman" w:hAnsi="Helvetica" w:cs="Helvetica"/>
          <w:color w:val="1B1D1B"/>
          <w:sz w:val="23"/>
          <w:szCs w:val="23"/>
          <w:lang w:eastAsia="fr-FR"/>
        </w:rPr>
        <w:br/>
        <w:t>La Direction de l’Environnement et de l’Agriculture contribue à la stratégie globale de transition de la collectivité, dont la transition énergétique et écologique, en s’appuyant sur son patrimoine de barrages pour soutenir l’étiage des cours d’eau, pour prévenir les crues et pour favoriser la production d’énergie renouvelable.</w:t>
      </w:r>
      <w:r w:rsidRPr="00862869">
        <w:rPr>
          <w:rFonts w:ascii="Helvetica" w:eastAsia="Times New Roman" w:hAnsi="Helvetica" w:cs="Helvetica"/>
          <w:color w:val="1B1D1B"/>
          <w:sz w:val="23"/>
          <w:szCs w:val="23"/>
          <w:lang w:eastAsia="fr-FR"/>
        </w:rPr>
        <w:br/>
        <w:t xml:space="preserve">En matière d’agriculture et d’environnement, la préservation des paysages alsaciens, le soutien à l'élevage et aux filières courtes de proximité sont au cœur des projets de la DEA. En appui, le Laboratoire Alsacien d’Analyses (L2A), contribue à la gestion des risques et des crises sanitaires dans les domaines de la santé animale, de l’hygiène </w:t>
      </w:r>
      <w:r w:rsidRPr="00862869">
        <w:rPr>
          <w:rFonts w:ascii="Helvetica" w:eastAsia="Times New Roman" w:hAnsi="Helvetica" w:cs="Helvetica"/>
          <w:color w:val="1B1D1B"/>
          <w:sz w:val="23"/>
          <w:szCs w:val="23"/>
          <w:lang w:eastAsia="fr-FR"/>
        </w:rPr>
        <w:lastRenderedPageBreak/>
        <w:t>alimentaire, de la qualité de l’air intérieur et de la santé des végétaux.</w:t>
      </w:r>
      <w:r w:rsidRPr="00862869">
        <w:rPr>
          <w:rFonts w:ascii="Helvetica" w:eastAsia="Times New Roman" w:hAnsi="Helvetica" w:cs="Helvetica"/>
          <w:color w:val="1B1D1B"/>
          <w:sz w:val="23"/>
          <w:szCs w:val="23"/>
          <w:lang w:eastAsia="fr-FR"/>
        </w:rPr>
        <w:br/>
      </w:r>
    </w:p>
    <w:p w:rsidR="00862869" w:rsidRPr="00862869" w:rsidRDefault="00862869" w:rsidP="00862869">
      <w:pPr>
        <w:shd w:val="clear" w:color="auto" w:fill="FFFFFF"/>
        <w:spacing w:after="100" w:afterAutospacing="1" w:line="240" w:lineRule="auto"/>
        <w:rPr>
          <w:rFonts w:ascii="Helvetica" w:eastAsia="Times New Roman" w:hAnsi="Helvetica" w:cs="Helvetica"/>
          <w:color w:val="1B1D1B"/>
          <w:sz w:val="23"/>
          <w:szCs w:val="23"/>
          <w:lang w:eastAsia="fr-FR"/>
        </w:rPr>
      </w:pPr>
    </w:p>
    <w:p w:rsidR="00862869" w:rsidRPr="00862869" w:rsidRDefault="00862869" w:rsidP="00862869">
      <w:pPr>
        <w:shd w:val="clear" w:color="auto" w:fill="FFFFFF"/>
        <w:spacing w:after="100" w:afterAutospacing="1" w:line="240" w:lineRule="auto"/>
        <w:rPr>
          <w:rFonts w:ascii="Helvetica" w:eastAsia="Times New Roman" w:hAnsi="Helvetica" w:cs="Helvetica"/>
          <w:color w:val="1B1D1B"/>
          <w:sz w:val="23"/>
          <w:szCs w:val="23"/>
          <w:lang w:eastAsia="fr-FR"/>
        </w:rPr>
      </w:pPr>
      <w:r w:rsidRPr="00862869">
        <w:rPr>
          <w:rFonts w:ascii="Helvetica" w:eastAsia="Times New Roman" w:hAnsi="Helvetica" w:cs="Helvetica"/>
          <w:color w:val="1B1D1B"/>
          <w:sz w:val="23"/>
          <w:szCs w:val="23"/>
          <w:lang w:eastAsia="fr-FR"/>
        </w:rPr>
        <w:t>De novembre 2026 à juin 2027, le volontaire aura pour mission l'analyse sur place des demandes de classement déposées et leur saisie :</w:t>
      </w:r>
    </w:p>
    <w:p w:rsidR="00862869" w:rsidRPr="00862869" w:rsidRDefault="00862869" w:rsidP="00862869">
      <w:pPr>
        <w:shd w:val="clear" w:color="auto" w:fill="FFFFFF"/>
        <w:spacing w:after="0" w:line="240" w:lineRule="auto"/>
        <w:rPr>
          <w:rFonts w:ascii="Helvetica" w:eastAsia="Times New Roman" w:hAnsi="Helvetica" w:cs="Helvetica"/>
          <w:color w:val="1B1D1B"/>
          <w:sz w:val="23"/>
          <w:szCs w:val="23"/>
          <w:lang w:eastAsia="fr-FR"/>
        </w:rPr>
      </w:pPr>
      <w:r w:rsidRPr="00862869">
        <w:rPr>
          <w:rFonts w:ascii="Helvetica" w:eastAsia="Times New Roman" w:hAnsi="Helvetica" w:cs="Helvetica"/>
          <w:color w:val="1B1D1B"/>
          <w:sz w:val="23"/>
          <w:szCs w:val="23"/>
          <w:lang w:eastAsia="fr-FR"/>
        </w:rPr>
        <w:t>- Rencontre avec les communes, associations ou particuliers ayant signalés des arbres remarquables.</w:t>
      </w:r>
      <w:r w:rsidRPr="00862869">
        <w:rPr>
          <w:rFonts w:ascii="Helvetica" w:eastAsia="Times New Roman" w:hAnsi="Helvetica" w:cs="Helvetica"/>
          <w:color w:val="1B1D1B"/>
          <w:sz w:val="23"/>
          <w:szCs w:val="23"/>
          <w:lang w:eastAsia="fr-FR"/>
        </w:rPr>
        <w:br/>
        <w:t>- Localisations et mesures de ces arbres sur le terrain.</w:t>
      </w:r>
      <w:r w:rsidRPr="00862869">
        <w:rPr>
          <w:rFonts w:ascii="Helvetica" w:eastAsia="Times New Roman" w:hAnsi="Helvetica" w:cs="Helvetica"/>
          <w:color w:val="1B1D1B"/>
          <w:sz w:val="23"/>
          <w:szCs w:val="23"/>
          <w:lang w:eastAsia="fr-FR"/>
        </w:rPr>
        <w:br/>
        <w:t xml:space="preserve">- Participation à la classification des arbres selon leur degré de </w:t>
      </w:r>
      <w:proofErr w:type="spellStart"/>
      <w:r w:rsidRPr="00862869">
        <w:rPr>
          <w:rFonts w:ascii="Helvetica" w:eastAsia="Times New Roman" w:hAnsi="Helvetica" w:cs="Helvetica"/>
          <w:color w:val="1B1D1B"/>
          <w:sz w:val="23"/>
          <w:szCs w:val="23"/>
          <w:lang w:eastAsia="fr-FR"/>
        </w:rPr>
        <w:t>remarquabilité</w:t>
      </w:r>
      <w:proofErr w:type="spellEnd"/>
      <w:r w:rsidRPr="00862869">
        <w:rPr>
          <w:rFonts w:ascii="Helvetica" w:eastAsia="Times New Roman" w:hAnsi="Helvetica" w:cs="Helvetica"/>
          <w:color w:val="1B1D1B"/>
          <w:sz w:val="23"/>
          <w:szCs w:val="23"/>
          <w:lang w:eastAsia="fr-FR"/>
        </w:rPr>
        <w:t xml:space="preserve"> : label national, départemental.</w:t>
      </w:r>
      <w:r w:rsidRPr="00862869">
        <w:rPr>
          <w:rFonts w:ascii="Helvetica" w:eastAsia="Times New Roman" w:hAnsi="Helvetica" w:cs="Helvetica"/>
          <w:color w:val="1B1D1B"/>
          <w:sz w:val="23"/>
          <w:szCs w:val="23"/>
          <w:lang w:eastAsia="fr-FR"/>
        </w:rPr>
        <w:br/>
        <w:t>- Relevés des arbres à cavités et de leur localisation et participation au suivi avec les services et associations concernés</w:t>
      </w:r>
      <w:r w:rsidRPr="00862869">
        <w:rPr>
          <w:rFonts w:ascii="Helvetica" w:eastAsia="Times New Roman" w:hAnsi="Helvetica" w:cs="Helvetica"/>
          <w:color w:val="1B1D1B"/>
          <w:sz w:val="23"/>
          <w:szCs w:val="23"/>
          <w:lang w:eastAsia="fr-FR"/>
        </w:rPr>
        <w:br/>
        <w:t xml:space="preserve">- Relevés des arbres têtards sur le territoire : Pour leur </w:t>
      </w:r>
      <w:proofErr w:type="spellStart"/>
      <w:r w:rsidRPr="00862869">
        <w:rPr>
          <w:rFonts w:ascii="Helvetica" w:eastAsia="Times New Roman" w:hAnsi="Helvetica" w:cs="Helvetica"/>
          <w:color w:val="1B1D1B"/>
          <w:sz w:val="23"/>
          <w:szCs w:val="23"/>
          <w:lang w:eastAsia="fr-FR"/>
        </w:rPr>
        <w:t>remarquabilité</w:t>
      </w:r>
      <w:proofErr w:type="spellEnd"/>
      <w:r w:rsidRPr="00862869">
        <w:rPr>
          <w:rFonts w:ascii="Helvetica" w:eastAsia="Times New Roman" w:hAnsi="Helvetica" w:cs="Helvetica"/>
          <w:color w:val="1B1D1B"/>
          <w:sz w:val="23"/>
          <w:szCs w:val="23"/>
          <w:lang w:eastAsia="fr-FR"/>
        </w:rPr>
        <w:t xml:space="preserve"> liée à la biodiversité, leur forme …</w:t>
      </w:r>
      <w:r w:rsidRPr="00862869">
        <w:rPr>
          <w:rFonts w:ascii="Helvetica" w:eastAsia="Times New Roman" w:hAnsi="Helvetica" w:cs="Helvetica"/>
          <w:color w:val="1B1D1B"/>
          <w:sz w:val="23"/>
          <w:szCs w:val="23"/>
          <w:lang w:eastAsia="fr-FR"/>
        </w:rPr>
        <w:br/>
        <w:t>- Utilisation de la base de données Arbres Remarquables (utilisation de QGIS).</w:t>
      </w:r>
      <w:r w:rsidRPr="00862869">
        <w:rPr>
          <w:rFonts w:ascii="Helvetica" w:eastAsia="Times New Roman" w:hAnsi="Helvetica" w:cs="Helvetica"/>
          <w:color w:val="1B1D1B"/>
          <w:sz w:val="23"/>
          <w:szCs w:val="23"/>
          <w:lang w:eastAsia="fr-FR"/>
        </w:rPr>
        <w:br/>
        <w:t>- Sensibilisation des propriétaires : intérêt de la démarche pour le développement durable : éviter la coupe de ces arbres remarquables pour limiter l'impact sur les paysages, conserver les niches écologiques qu'ils représentent (présence de nids ou d'espèces protégées par exemple), conserver des essences rares, bénéficier de conseils des forestiers et arboriculteurs pour la conservation de l'arbre, tout en veillant à la sécurité des promeneurs.</w:t>
      </w:r>
      <w:r w:rsidRPr="00862869">
        <w:rPr>
          <w:rFonts w:ascii="Helvetica" w:eastAsia="Times New Roman" w:hAnsi="Helvetica" w:cs="Helvetica"/>
          <w:color w:val="1B1D1B"/>
          <w:sz w:val="23"/>
          <w:szCs w:val="23"/>
          <w:lang w:eastAsia="fr-FR"/>
        </w:rPr>
        <w:br/>
        <w:t>- Participation aux opérations de communication auprès du grand public et des scolaires :</w:t>
      </w:r>
      <w:r w:rsidRPr="00862869">
        <w:rPr>
          <w:rFonts w:ascii="Helvetica" w:eastAsia="Times New Roman" w:hAnsi="Helvetica" w:cs="Helvetica"/>
          <w:color w:val="1B1D1B"/>
          <w:sz w:val="23"/>
          <w:szCs w:val="23"/>
          <w:lang w:eastAsia="fr-FR"/>
        </w:rPr>
        <w:br/>
        <w:t>Sensibilisation dans le cadre du développement durable dans les collèges, les communes sur ce patrimoine, sur des thématiques liées à l'arbre, la forêt, les écosystèmes, le paysage et le réchauffement climatique, en lien avec des événements organisés par la Collectivité ou ses partenaires.</w:t>
      </w:r>
      <w:r w:rsidRPr="00862869">
        <w:rPr>
          <w:rFonts w:ascii="Helvetica" w:eastAsia="Times New Roman" w:hAnsi="Helvetica" w:cs="Helvetica"/>
          <w:color w:val="1B1D1B"/>
          <w:sz w:val="23"/>
          <w:szCs w:val="23"/>
          <w:lang w:eastAsia="fr-FR"/>
        </w:rPr>
        <w:br/>
        <w:t>- Actions de communication au travers de l'exposition photographique itinérante sur les arbres remarquables : valorisation et enrichissement de cette expo et création d’animations pour les publics en situation de handicaps (déficients visuels) ou mentaux : intervention en IME, ESAT ….</w:t>
      </w:r>
    </w:p>
    <w:p w:rsidR="00862869" w:rsidRPr="00862869" w:rsidRDefault="00862869" w:rsidP="00862869">
      <w:pPr>
        <w:shd w:val="clear" w:color="auto" w:fill="FFFFFF"/>
        <w:spacing w:after="100" w:afterAutospacing="1" w:line="240" w:lineRule="auto"/>
        <w:outlineLvl w:val="1"/>
        <w:rPr>
          <w:rFonts w:ascii="Helvetica" w:eastAsia="Times New Roman" w:hAnsi="Helvetica" w:cs="Helvetica"/>
          <w:color w:val="164193"/>
          <w:sz w:val="36"/>
          <w:szCs w:val="36"/>
          <w:lang w:eastAsia="fr-FR"/>
        </w:rPr>
      </w:pPr>
      <w:r w:rsidRPr="00862869">
        <w:rPr>
          <w:rFonts w:ascii="Helvetica" w:eastAsia="Times New Roman" w:hAnsi="Helvetica" w:cs="Helvetica"/>
          <w:color w:val="164193"/>
          <w:sz w:val="36"/>
          <w:szCs w:val="36"/>
          <w:lang w:eastAsia="fr-FR"/>
        </w:rPr>
        <w:t>Profil recherché</w:t>
      </w:r>
    </w:p>
    <w:p w:rsidR="00862869" w:rsidRPr="00862869" w:rsidRDefault="00862869" w:rsidP="00862869">
      <w:pPr>
        <w:shd w:val="clear" w:color="auto" w:fill="FFFFFF"/>
        <w:spacing w:after="100" w:afterAutospacing="1" w:line="240" w:lineRule="auto"/>
        <w:rPr>
          <w:rFonts w:ascii="Helvetica" w:eastAsia="Times New Roman" w:hAnsi="Helvetica" w:cs="Helvetica"/>
          <w:color w:val="1B1D1B"/>
          <w:sz w:val="23"/>
          <w:szCs w:val="23"/>
          <w:lang w:eastAsia="fr-FR"/>
        </w:rPr>
      </w:pPr>
      <w:proofErr w:type="gramStart"/>
      <w:r w:rsidRPr="00862869">
        <w:rPr>
          <w:rFonts w:ascii="Helvetica" w:eastAsia="Times New Roman" w:hAnsi="Helvetica" w:cs="Helvetica"/>
          <w:color w:val="1B1D1B"/>
          <w:sz w:val="23"/>
          <w:szCs w:val="23"/>
          <w:lang w:eastAsia="fr-FR"/>
        </w:rPr>
        <w:t>voir</w:t>
      </w:r>
      <w:proofErr w:type="gramEnd"/>
      <w:r w:rsidRPr="00862869">
        <w:rPr>
          <w:rFonts w:ascii="Helvetica" w:eastAsia="Times New Roman" w:hAnsi="Helvetica" w:cs="Helvetica"/>
          <w:color w:val="1B1D1B"/>
          <w:sz w:val="23"/>
          <w:szCs w:val="23"/>
          <w:lang w:eastAsia="fr-FR"/>
        </w:rPr>
        <w:t xml:space="preserve"> entre 18 et 25 ans (30 en situation de handicap)</w:t>
      </w:r>
    </w:p>
    <w:p w:rsidR="00862869" w:rsidRPr="00862869" w:rsidRDefault="00862869" w:rsidP="00862869">
      <w:pPr>
        <w:shd w:val="clear" w:color="auto" w:fill="FFFFFF"/>
        <w:spacing w:after="0" w:line="240" w:lineRule="auto"/>
        <w:rPr>
          <w:rFonts w:ascii="Helvetica" w:eastAsia="Times New Roman" w:hAnsi="Helvetica" w:cs="Helvetica"/>
          <w:color w:val="1B1D1B"/>
          <w:sz w:val="23"/>
          <w:szCs w:val="23"/>
          <w:lang w:eastAsia="fr-FR"/>
        </w:rPr>
      </w:pPr>
      <w:r w:rsidRPr="00862869">
        <w:rPr>
          <w:rFonts w:ascii="Helvetica" w:eastAsia="Times New Roman" w:hAnsi="Helvetica" w:cs="Helvetica"/>
          <w:color w:val="1B1D1B"/>
          <w:sz w:val="23"/>
          <w:szCs w:val="23"/>
          <w:lang w:eastAsia="fr-FR"/>
        </w:rPr>
        <w:t>Connaissances sur les arbres (reconnaissance de base des essences à inventorier) et intérêt pour la nature (sorties terrain)</w:t>
      </w:r>
      <w:r w:rsidRPr="00862869">
        <w:rPr>
          <w:rFonts w:ascii="Helvetica" w:eastAsia="Times New Roman" w:hAnsi="Helvetica" w:cs="Helvetica"/>
          <w:color w:val="1B1D1B"/>
          <w:sz w:val="23"/>
          <w:szCs w:val="23"/>
          <w:lang w:eastAsia="fr-FR"/>
        </w:rPr>
        <w:br/>
        <w:t>-Autonomie pour les mesures sur le terrain</w:t>
      </w:r>
      <w:r w:rsidRPr="00862869">
        <w:rPr>
          <w:rFonts w:ascii="Helvetica" w:eastAsia="Times New Roman" w:hAnsi="Helvetica" w:cs="Helvetica"/>
          <w:color w:val="1B1D1B"/>
          <w:sz w:val="23"/>
          <w:szCs w:val="23"/>
          <w:lang w:eastAsia="fr-FR"/>
        </w:rPr>
        <w:br/>
        <w:t>-être à l’aise avec les outils informatiques (bureautique, base de données, Powerpoint, QGIS)</w:t>
      </w:r>
      <w:r w:rsidRPr="00862869">
        <w:rPr>
          <w:rFonts w:ascii="Helvetica" w:eastAsia="Times New Roman" w:hAnsi="Helvetica" w:cs="Helvetica"/>
          <w:color w:val="1B1D1B"/>
          <w:sz w:val="23"/>
          <w:szCs w:val="23"/>
          <w:lang w:eastAsia="fr-FR"/>
        </w:rPr>
        <w:br/>
        <w:t>-Nombreux déplacements nécessitant le permis B</w:t>
      </w:r>
      <w:r w:rsidRPr="00862869">
        <w:rPr>
          <w:rFonts w:ascii="Helvetica" w:eastAsia="Times New Roman" w:hAnsi="Helvetica" w:cs="Helvetica"/>
          <w:color w:val="1B1D1B"/>
          <w:sz w:val="23"/>
          <w:szCs w:val="23"/>
          <w:lang w:eastAsia="fr-FR"/>
        </w:rPr>
        <w:br/>
        <w:t>-Ouverture d’esprit et tolérance vis-à-vis de public jeune ou avec en situation de handicaps pour les animations</w:t>
      </w:r>
    </w:p>
    <w:p w:rsidR="00862869" w:rsidRPr="00862869" w:rsidRDefault="00862869" w:rsidP="00862869">
      <w:pPr>
        <w:shd w:val="clear" w:color="auto" w:fill="FFFFFF"/>
        <w:spacing w:after="100" w:afterAutospacing="1" w:line="240" w:lineRule="auto"/>
        <w:outlineLvl w:val="1"/>
        <w:rPr>
          <w:rFonts w:ascii="Helvetica" w:eastAsia="Times New Roman" w:hAnsi="Helvetica" w:cs="Helvetica"/>
          <w:color w:val="164193"/>
          <w:sz w:val="36"/>
          <w:szCs w:val="36"/>
          <w:lang w:eastAsia="fr-FR"/>
        </w:rPr>
      </w:pPr>
      <w:r w:rsidRPr="00862869">
        <w:rPr>
          <w:rFonts w:ascii="Helvetica" w:eastAsia="Times New Roman" w:hAnsi="Helvetica" w:cs="Helvetica"/>
          <w:color w:val="164193"/>
          <w:sz w:val="36"/>
          <w:szCs w:val="36"/>
          <w:lang w:eastAsia="fr-FR"/>
        </w:rPr>
        <w:t>Date limite de dépôt des candidatures</w:t>
      </w:r>
    </w:p>
    <w:p w:rsidR="0031059A" w:rsidRDefault="0031059A"/>
    <w:sectPr w:rsidR="0031059A" w:rsidSect="00A20A1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69"/>
    <w:rsid w:val="0031059A"/>
    <w:rsid w:val="006E2A42"/>
    <w:rsid w:val="00862869"/>
    <w:rsid w:val="00A20A14"/>
    <w:rsid w:val="00A83A72"/>
    <w:rsid w:val="00CD6AD9"/>
    <w:rsid w:val="00E73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632FD-8026-4DB7-8B8B-B2839EBA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5080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CD67</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PLANCHON Emmanuelle</dc:creator>
  <cp:keywords/>
  <dc:description/>
  <cp:lastModifiedBy>PLANCHON Emmanuelle</cp:lastModifiedBy>
  <cp:revision>2</cp:revision>
  <dcterms:created xsi:type="dcterms:W3CDTF">2026-07-15T07:09:00Z</dcterms:created>
  <dcterms:modified xsi:type="dcterms:W3CDTF">2026-07-15T07:09:00Z</dcterms:modified>
</cp:coreProperties>
</file>