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4A2C0" w14:textId="77777777" w:rsidR="00D410F2" w:rsidRPr="00D54998" w:rsidRDefault="00D410F2" w:rsidP="00D410F2">
      <w:pPr>
        <w:rPr>
          <w:rFonts w:ascii="Cambria" w:hAnsi="Cambria" w:cs="Bangla MN"/>
          <w:sz w:val="24"/>
          <w:szCs w:val="24"/>
        </w:rPr>
      </w:pPr>
      <w:bookmarkStart w:id="0" w:name="_GoBack"/>
      <w:bookmarkEnd w:id="0"/>
    </w:p>
    <w:p w14:paraId="0DC49CF5" w14:textId="77777777" w:rsidR="00DF17B4" w:rsidRPr="00D54998" w:rsidRDefault="00DF17B4" w:rsidP="00DF17B4">
      <w:pPr>
        <w:jc w:val="both"/>
        <w:rPr>
          <w:rFonts w:ascii="Cambria" w:hAnsi="Cambria" w:cs="Bangla MN"/>
          <w:sz w:val="24"/>
          <w:szCs w:val="24"/>
        </w:rPr>
      </w:pPr>
      <w:r w:rsidRPr="00D54998">
        <w:rPr>
          <w:rFonts w:ascii="Cambria" w:hAnsi="Cambria" w:cs="Bangla MN"/>
          <w:sz w:val="24"/>
          <w:szCs w:val="24"/>
        </w:rPr>
        <w:t>Communiqu</w:t>
      </w:r>
      <w:r w:rsidRPr="00D54998">
        <w:rPr>
          <w:rFonts w:ascii="Cambria" w:hAnsi="Cambria" w:cs="Cambria"/>
          <w:sz w:val="24"/>
          <w:szCs w:val="24"/>
        </w:rPr>
        <w:t>é</w:t>
      </w:r>
      <w:r w:rsidRPr="00D54998">
        <w:rPr>
          <w:rFonts w:ascii="Cambria" w:hAnsi="Cambria" w:cs="Bangla MN"/>
          <w:sz w:val="24"/>
          <w:szCs w:val="24"/>
        </w:rPr>
        <w:t xml:space="preserve"> de presse </w:t>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r>
      <w:r w:rsidRPr="00D54998">
        <w:rPr>
          <w:rFonts w:ascii="Cambria" w:hAnsi="Cambria" w:cs="Bangla MN"/>
          <w:sz w:val="24"/>
          <w:szCs w:val="24"/>
        </w:rPr>
        <w:tab/>
        <w:t>18 mai 2018</w:t>
      </w:r>
    </w:p>
    <w:p w14:paraId="4AC62A8F" w14:textId="77777777" w:rsidR="00DF17B4" w:rsidRPr="00D54998" w:rsidRDefault="00DF17B4" w:rsidP="00EA2A3B">
      <w:pPr>
        <w:pStyle w:val="Titre1"/>
        <w:jc w:val="center"/>
        <w:rPr>
          <w:rFonts w:ascii="Cambria" w:hAnsi="Cambria" w:cs="Bangla MN"/>
          <w:sz w:val="24"/>
          <w:szCs w:val="24"/>
        </w:rPr>
      </w:pPr>
    </w:p>
    <w:p w14:paraId="2F5B9BB3" w14:textId="77777777" w:rsidR="00D54998" w:rsidRPr="00D54998" w:rsidRDefault="00E15B64" w:rsidP="00D54998">
      <w:pPr>
        <w:jc w:val="center"/>
        <w:rPr>
          <w:rFonts w:ascii="Cambria" w:hAnsi="Cambria" w:cs="Bangla MN"/>
          <w:b/>
          <w:sz w:val="32"/>
          <w:szCs w:val="24"/>
        </w:rPr>
      </w:pPr>
      <w:r>
        <w:rPr>
          <w:rFonts w:ascii="Cambria" w:hAnsi="Cambria" w:cs="Bangla MN"/>
          <w:b/>
          <w:sz w:val="32"/>
          <w:szCs w:val="24"/>
        </w:rPr>
        <w:t>Quinze</w:t>
      </w:r>
      <w:r w:rsidR="00D54998" w:rsidRPr="00D54998">
        <w:rPr>
          <w:rFonts w:ascii="Cambria" w:hAnsi="Cambria" w:cs="Bangla MN"/>
          <w:b/>
          <w:sz w:val="32"/>
          <w:szCs w:val="24"/>
        </w:rPr>
        <w:t xml:space="preserve"> associations nationales</w:t>
      </w:r>
    </w:p>
    <w:p w14:paraId="6870DD25" w14:textId="77777777" w:rsidR="00652D9D" w:rsidRPr="00D54998" w:rsidRDefault="00D54998" w:rsidP="00D54998">
      <w:pPr>
        <w:jc w:val="center"/>
        <w:rPr>
          <w:rFonts w:ascii="Cambria" w:hAnsi="Cambria" w:cs="Bangla MN"/>
          <w:b/>
          <w:sz w:val="32"/>
          <w:szCs w:val="24"/>
        </w:rPr>
      </w:pPr>
      <w:r>
        <w:rPr>
          <w:rFonts w:ascii="Cambria" w:hAnsi="Cambria" w:cs="Bangla MN"/>
          <w:b/>
          <w:sz w:val="32"/>
          <w:szCs w:val="24"/>
        </w:rPr>
        <w:t>d</w:t>
      </w:r>
      <w:r w:rsidRPr="00D54998">
        <w:rPr>
          <w:rFonts w:ascii="Cambria" w:hAnsi="Cambria" w:cs="Bangla MN"/>
          <w:b/>
          <w:sz w:val="32"/>
          <w:szCs w:val="24"/>
        </w:rPr>
        <w:t>énoncent un nouveau péril pour le patrimoine</w:t>
      </w:r>
    </w:p>
    <w:p w14:paraId="4CE0BA58" w14:textId="77777777" w:rsidR="00FB59A0" w:rsidRPr="00FB59A0" w:rsidRDefault="00FB59A0" w:rsidP="00FB59A0">
      <w:pPr>
        <w:rPr>
          <w:rFonts w:ascii="Cambria" w:hAnsi="Cambria"/>
          <w:sz w:val="24"/>
          <w:szCs w:val="24"/>
        </w:rPr>
      </w:pPr>
    </w:p>
    <w:p w14:paraId="64599D01" w14:textId="77777777" w:rsidR="00FB59A0" w:rsidRPr="00FB59A0" w:rsidRDefault="00FB59A0" w:rsidP="00FB59A0">
      <w:pPr>
        <w:jc w:val="both"/>
        <w:rPr>
          <w:rFonts w:ascii="Cambria" w:hAnsi="Cambria"/>
          <w:sz w:val="24"/>
          <w:szCs w:val="24"/>
        </w:rPr>
      </w:pPr>
      <w:r w:rsidRPr="00FB59A0">
        <w:rPr>
          <w:rFonts w:ascii="Cambria" w:hAnsi="Cambria"/>
          <w:sz w:val="24"/>
          <w:szCs w:val="24"/>
        </w:rPr>
        <w:t xml:space="preserve">En pleine « Année européenne du patrimoine », une proposition de loi intitulée « Pacte national de revitalisation des centres-villes et des centres-bourgs » a été déposée le 20 avril à la présidence du Sénat et sera examinée dans les tous prochains jours. </w:t>
      </w:r>
    </w:p>
    <w:p w14:paraId="5CE923CD" w14:textId="77777777" w:rsidR="00FB59A0" w:rsidRPr="00FB59A0" w:rsidRDefault="00FB59A0" w:rsidP="00FB59A0">
      <w:pPr>
        <w:jc w:val="both"/>
        <w:rPr>
          <w:rFonts w:ascii="Cambria" w:hAnsi="Cambria"/>
          <w:sz w:val="24"/>
          <w:szCs w:val="24"/>
        </w:rPr>
      </w:pPr>
      <w:r w:rsidRPr="00FB59A0">
        <w:rPr>
          <w:rFonts w:ascii="Cambria" w:hAnsi="Cambria"/>
          <w:sz w:val="24"/>
          <w:szCs w:val="24"/>
        </w:rPr>
        <w:t xml:space="preserve">Son article 7 remet en cause le dispositif de protection du patrimoine et constitue de ce fait une grave menace pour les villes historiques quelle qu’en soit la dimension. Sa mise en œuvre ouvrirait la porte à toutes les dérives et à des contestations juridiques longues à purger qui ne feraient que ralentir et dégrader le processus de construction. </w:t>
      </w:r>
    </w:p>
    <w:p w14:paraId="770F53A6" w14:textId="77777777" w:rsidR="00FB59A0" w:rsidRPr="00FB59A0" w:rsidRDefault="00FB59A0" w:rsidP="00FB59A0">
      <w:pPr>
        <w:jc w:val="both"/>
        <w:rPr>
          <w:rFonts w:ascii="Cambria" w:hAnsi="Cambria"/>
          <w:sz w:val="24"/>
          <w:szCs w:val="24"/>
        </w:rPr>
      </w:pPr>
      <w:r w:rsidRPr="00FB59A0">
        <w:rPr>
          <w:rFonts w:ascii="Cambria" w:hAnsi="Cambria"/>
          <w:sz w:val="24"/>
          <w:szCs w:val="24"/>
        </w:rPr>
        <w:t>Après avoir entendu les membres du Collège des Monuments historiques</w:t>
      </w:r>
      <w:r w:rsidR="00BA775E">
        <w:rPr>
          <w:rStyle w:val="Appelnotedebasdep"/>
          <w:rFonts w:ascii="Cambria" w:hAnsi="Cambria"/>
          <w:sz w:val="24"/>
          <w:szCs w:val="24"/>
        </w:rPr>
        <w:footnoteReference w:id="1"/>
      </w:r>
      <w:r w:rsidRPr="00FB59A0">
        <w:rPr>
          <w:rFonts w:ascii="Cambria" w:hAnsi="Cambria"/>
          <w:sz w:val="24"/>
          <w:szCs w:val="24"/>
        </w:rPr>
        <w:t xml:space="preserve">, les </w:t>
      </w:r>
      <w:r w:rsidR="00E15B64">
        <w:rPr>
          <w:rFonts w:ascii="Cambria" w:hAnsi="Cambria"/>
          <w:sz w:val="24"/>
          <w:szCs w:val="24"/>
        </w:rPr>
        <w:t>quinze</w:t>
      </w:r>
      <w:r w:rsidRPr="00FB59A0">
        <w:rPr>
          <w:rFonts w:ascii="Cambria" w:hAnsi="Cambria"/>
          <w:sz w:val="24"/>
          <w:szCs w:val="24"/>
        </w:rPr>
        <w:t xml:space="preserve"> associations signataires du présent communiqué affirment leur opposition au texte de cet article.</w:t>
      </w:r>
      <w:r w:rsidR="009A0528">
        <w:rPr>
          <w:rFonts w:ascii="Cambria" w:hAnsi="Cambria"/>
          <w:sz w:val="24"/>
          <w:szCs w:val="24"/>
        </w:rPr>
        <w:t xml:space="preserve"> </w:t>
      </w:r>
    </w:p>
    <w:p w14:paraId="220901E4" w14:textId="77777777" w:rsidR="00FB59A0" w:rsidRPr="00FB59A0" w:rsidRDefault="00FB59A0" w:rsidP="00FB59A0">
      <w:pPr>
        <w:rPr>
          <w:rFonts w:ascii="Cambria" w:hAnsi="Cambria"/>
          <w:sz w:val="24"/>
          <w:szCs w:val="24"/>
        </w:rPr>
      </w:pPr>
    </w:p>
    <w:p w14:paraId="4E9A4199" w14:textId="77777777" w:rsidR="00FB59A0" w:rsidRPr="00FB59A0" w:rsidRDefault="00FB59A0" w:rsidP="00FB59A0">
      <w:pPr>
        <w:pStyle w:val="Pardeliste"/>
        <w:numPr>
          <w:ilvl w:val="0"/>
          <w:numId w:val="2"/>
        </w:numPr>
        <w:spacing w:after="0" w:line="240" w:lineRule="auto"/>
        <w:jc w:val="both"/>
        <w:rPr>
          <w:rFonts w:ascii="Cambria" w:hAnsi="Cambria"/>
          <w:sz w:val="24"/>
          <w:szCs w:val="24"/>
        </w:rPr>
      </w:pPr>
      <w:r w:rsidRPr="00FB59A0">
        <w:rPr>
          <w:rFonts w:ascii="Cambria" w:hAnsi="Cambria"/>
          <w:sz w:val="24"/>
          <w:szCs w:val="24"/>
        </w:rPr>
        <w:t xml:space="preserve">Elles rappellent que c’est notamment pour mettre un terme à des destructions coupables dans les centres anciens que la loi Malraux a été élaborée et par la suite complétée. Elles soulignent que la loi LCAP votée en 2016 en termes identiques par les deux assemblées a réduit les délais d’instruction à deux mois et a organisé une concertation sur la mise en œuvre des mesures de protection du patrimoine au sein des nouvelles Commissions nationale, régionales et locales du patrimoine et </w:t>
      </w:r>
      <w:r w:rsidRPr="00FB59A0">
        <w:rPr>
          <w:rFonts w:ascii="Cambria" w:hAnsi="Cambria"/>
          <w:sz w:val="24"/>
          <w:szCs w:val="24"/>
        </w:rPr>
        <w:lastRenderedPageBreak/>
        <w:t>de l’architecture présidées maintenant par des élus. Ces dispositions ont été mises en œuvre dans toutes les régions.</w:t>
      </w:r>
    </w:p>
    <w:p w14:paraId="0ED36626" w14:textId="77777777" w:rsidR="00FB59A0" w:rsidRPr="00FB59A0" w:rsidRDefault="00FB59A0" w:rsidP="00FB59A0">
      <w:pPr>
        <w:jc w:val="both"/>
        <w:rPr>
          <w:rFonts w:ascii="Cambria" w:hAnsi="Cambria"/>
          <w:sz w:val="24"/>
          <w:szCs w:val="24"/>
        </w:rPr>
      </w:pPr>
    </w:p>
    <w:p w14:paraId="5F0271EE" w14:textId="77777777" w:rsidR="00FB59A0" w:rsidRPr="00FB59A0" w:rsidRDefault="00FB59A0" w:rsidP="00FB59A0">
      <w:pPr>
        <w:pStyle w:val="Pardeliste"/>
        <w:numPr>
          <w:ilvl w:val="0"/>
          <w:numId w:val="2"/>
        </w:numPr>
        <w:spacing w:after="0" w:line="240" w:lineRule="auto"/>
        <w:jc w:val="both"/>
        <w:rPr>
          <w:rFonts w:ascii="Cambria" w:hAnsi="Cambria"/>
          <w:sz w:val="24"/>
          <w:szCs w:val="24"/>
        </w:rPr>
      </w:pPr>
      <w:r w:rsidRPr="00FB59A0">
        <w:rPr>
          <w:rFonts w:ascii="Cambria" w:hAnsi="Cambria"/>
          <w:sz w:val="24"/>
          <w:szCs w:val="24"/>
        </w:rPr>
        <w:t xml:space="preserve">Elles s’interrogent sur les raisons qui poussent à remettre en cause </w:t>
      </w:r>
      <w:r w:rsidR="009A0528">
        <w:rPr>
          <w:rFonts w:ascii="Cambria" w:hAnsi="Cambria"/>
          <w:sz w:val="24"/>
          <w:szCs w:val="24"/>
        </w:rPr>
        <w:t xml:space="preserve">sans arrêt </w:t>
      </w:r>
      <w:r w:rsidRPr="00FB59A0">
        <w:rPr>
          <w:rFonts w:ascii="Cambria" w:hAnsi="Cambria"/>
          <w:sz w:val="24"/>
          <w:szCs w:val="24"/>
        </w:rPr>
        <w:t>la nouvelle loi à peine votée et saluée par tous</w:t>
      </w:r>
      <w:r w:rsidR="009A107E">
        <w:rPr>
          <w:rFonts w:ascii="Cambria" w:hAnsi="Cambria"/>
          <w:sz w:val="24"/>
          <w:szCs w:val="24"/>
        </w:rPr>
        <w:t>,</w:t>
      </w:r>
      <w:r w:rsidRPr="00FB59A0">
        <w:rPr>
          <w:rFonts w:ascii="Cambria" w:hAnsi="Cambria"/>
          <w:sz w:val="24"/>
          <w:szCs w:val="24"/>
        </w:rPr>
        <w:t xml:space="preserve"> il y a quelques mois</w:t>
      </w:r>
      <w:r w:rsidR="009A107E">
        <w:rPr>
          <w:rFonts w:ascii="Cambria" w:hAnsi="Cambria"/>
          <w:sz w:val="24"/>
          <w:szCs w:val="24"/>
        </w:rPr>
        <w:t>,</w:t>
      </w:r>
      <w:r w:rsidRPr="00FB59A0">
        <w:rPr>
          <w:rFonts w:ascii="Cambria" w:hAnsi="Cambria"/>
          <w:sz w:val="24"/>
          <w:szCs w:val="24"/>
        </w:rPr>
        <w:t xml:space="preserve"> comme porteuse de dispositifs attendus et pérennes. Elles affirment que la préservation du patrimoine historique sert l’intérêt général, le développement </w:t>
      </w:r>
      <w:r w:rsidR="009A0528">
        <w:rPr>
          <w:rFonts w:ascii="Cambria" w:hAnsi="Cambria"/>
          <w:sz w:val="24"/>
          <w:szCs w:val="24"/>
        </w:rPr>
        <w:t>économique, la cohésion sociale</w:t>
      </w:r>
      <w:r w:rsidRPr="00FB59A0">
        <w:rPr>
          <w:rFonts w:ascii="Cambria" w:hAnsi="Cambria"/>
          <w:sz w:val="24"/>
          <w:szCs w:val="24"/>
        </w:rPr>
        <w:t xml:space="preserve"> et la protection du cadre de vie. Elles considèrent ainsi que l’article 7 de la proposition de loi sénatoriale tout comme l’article 15 du projet de loi ELAN en cours d’examen à l’Assemblée Nationale vont à l’encontre même de la revitalisation des centres-villes et des centres-bourgs, dont ils préfigureraient la dégradation, alors qu’elle est souhaitée par le législateur et par les associations, ceci en s’appuyant sur des arguments erronés comme la démonstration en a été faite à de multiples reprises.</w:t>
      </w:r>
    </w:p>
    <w:p w14:paraId="7BD9A527" w14:textId="77777777" w:rsidR="00FB59A0" w:rsidRPr="00FB59A0" w:rsidRDefault="00FB59A0" w:rsidP="00FB59A0">
      <w:pPr>
        <w:jc w:val="both"/>
        <w:rPr>
          <w:rFonts w:ascii="Cambria" w:hAnsi="Cambria"/>
          <w:sz w:val="24"/>
          <w:szCs w:val="24"/>
        </w:rPr>
      </w:pPr>
    </w:p>
    <w:p w14:paraId="67A1C65F" w14:textId="77777777" w:rsidR="009A107E" w:rsidRPr="009A107E" w:rsidRDefault="00FB59A0" w:rsidP="009A107E">
      <w:pPr>
        <w:pStyle w:val="Pardeliste"/>
        <w:numPr>
          <w:ilvl w:val="0"/>
          <w:numId w:val="2"/>
        </w:numPr>
        <w:spacing w:after="0" w:line="240" w:lineRule="auto"/>
        <w:jc w:val="both"/>
        <w:rPr>
          <w:rFonts w:ascii="Cambria" w:hAnsi="Cambria"/>
          <w:sz w:val="24"/>
          <w:szCs w:val="24"/>
        </w:rPr>
      </w:pPr>
      <w:r w:rsidRPr="00FB59A0">
        <w:rPr>
          <w:rFonts w:ascii="Cambria" w:hAnsi="Cambria"/>
          <w:sz w:val="24"/>
          <w:szCs w:val="24"/>
        </w:rPr>
        <w:t xml:space="preserve">Renouvelant leur opposition la plus ferme à ces deux articles, elles suggèrent que soit confiée à un groupe de travail ad hoc une expertise objective des dispositifs existants à la recherche d’éventuelles améliorations mais dans le respect des principes qui ont permis la préservation du patrimoine urbain et des espaces publics dans les villes et quartiers historiques de notre pays. Elles ont saisi M. le Président de la République, M. le Premier Ministre, les ministres concernés, les présidents des assemblées, les rapporteurs et les sénateurs </w:t>
      </w:r>
      <w:r w:rsidR="009A0528">
        <w:rPr>
          <w:rFonts w:ascii="Cambria" w:hAnsi="Cambria"/>
          <w:sz w:val="24"/>
          <w:szCs w:val="24"/>
        </w:rPr>
        <w:t xml:space="preserve">signataires de </w:t>
      </w:r>
      <w:r w:rsidRPr="00FB59A0">
        <w:rPr>
          <w:rFonts w:ascii="Cambria" w:hAnsi="Cambria"/>
          <w:sz w:val="24"/>
          <w:szCs w:val="24"/>
        </w:rPr>
        <w:t>ce texte en soulignant</w:t>
      </w:r>
      <w:r w:rsidR="009A107E">
        <w:rPr>
          <w:rFonts w:ascii="Cambria" w:hAnsi="Cambria"/>
          <w:sz w:val="24"/>
          <w:szCs w:val="24"/>
        </w:rPr>
        <w:t xml:space="preserve"> </w:t>
      </w:r>
      <w:r w:rsidR="009A107E" w:rsidRPr="009A107E">
        <w:rPr>
          <w:rFonts w:ascii="Cambria" w:hAnsi="Cambria"/>
          <w:sz w:val="24"/>
          <w:szCs w:val="24"/>
        </w:rPr>
        <w:t>la gravité qu’aurait l’adoption des articles critiqués, remettant en cause les acquis de décennies d’efforts consentis par les collectivités locales et l’État.</w:t>
      </w:r>
    </w:p>
    <w:p w14:paraId="4444186E" w14:textId="77777777" w:rsidR="004D731A" w:rsidRPr="00D54998" w:rsidRDefault="004D731A" w:rsidP="00FB59A0">
      <w:pPr>
        <w:jc w:val="both"/>
        <w:rPr>
          <w:rFonts w:ascii="Cambria" w:hAnsi="Cambria" w:cs="Bangla MN"/>
          <w:sz w:val="24"/>
          <w:szCs w:val="24"/>
        </w:rPr>
      </w:pPr>
    </w:p>
    <w:p w14:paraId="036A1FB6" w14:textId="77777777" w:rsidR="00DF17B4" w:rsidRPr="00D54998" w:rsidRDefault="00DF17B4" w:rsidP="0028760E">
      <w:pPr>
        <w:jc w:val="both"/>
        <w:rPr>
          <w:rFonts w:ascii="Cambria" w:hAnsi="Cambria" w:cs="Bangla MN"/>
          <w:sz w:val="24"/>
          <w:szCs w:val="24"/>
        </w:rPr>
      </w:pPr>
    </w:p>
    <w:p w14:paraId="194F443D" w14:textId="77777777" w:rsidR="00FB59A0" w:rsidRPr="009A0528" w:rsidRDefault="00DF17B4" w:rsidP="009A0528">
      <w:pPr>
        <w:spacing w:after="0" w:line="240" w:lineRule="auto"/>
        <w:ind w:left="-851" w:right="-567"/>
        <w:jc w:val="center"/>
        <w:rPr>
          <w:rFonts w:cs="Bangla MN"/>
          <w:sz w:val="24"/>
          <w:szCs w:val="24"/>
          <w:u w:val="single"/>
        </w:rPr>
      </w:pPr>
      <w:r w:rsidRPr="00D54998">
        <w:rPr>
          <w:rFonts w:cs="Bangla MN"/>
          <w:sz w:val="24"/>
          <w:szCs w:val="24"/>
          <w:u w:val="single"/>
        </w:rPr>
        <w:t>Contacts presse</w:t>
      </w:r>
      <w:r w:rsidR="00610DB5">
        <w:rPr>
          <w:rFonts w:cs="Bangla MN"/>
          <w:sz w:val="24"/>
          <w:szCs w:val="24"/>
          <w:u w:val="single"/>
        </w:rPr>
        <w:t> :</w:t>
      </w:r>
    </w:p>
    <w:p w14:paraId="10F997B4" w14:textId="77777777" w:rsidR="00A33F59" w:rsidRPr="00A33F59" w:rsidRDefault="00A33F59" w:rsidP="00A33F59">
      <w:pPr>
        <w:spacing w:after="0" w:line="240" w:lineRule="auto"/>
        <w:jc w:val="center"/>
        <w:rPr>
          <w:rFonts w:ascii="Times New Roman" w:eastAsia="Times New Roman" w:hAnsi="Times New Roman" w:cs="Times New Roman"/>
          <w:sz w:val="24"/>
          <w:szCs w:val="24"/>
          <w:lang w:eastAsia="fr-FR"/>
        </w:rPr>
      </w:pPr>
      <w:r>
        <w:rPr>
          <w:rFonts w:asciiTheme="majorHAnsi" w:hAnsiTheme="majorHAnsi" w:cs="Calibri"/>
          <w:sz w:val="20"/>
          <w:szCs w:val="20"/>
        </w:rPr>
        <w:t xml:space="preserve">La </w:t>
      </w:r>
      <w:r w:rsidRPr="00A33F59">
        <w:rPr>
          <w:rFonts w:asciiTheme="majorHAnsi" w:hAnsiTheme="majorHAnsi" w:cs="Calibri"/>
          <w:sz w:val="20"/>
          <w:szCs w:val="20"/>
        </w:rPr>
        <w:t xml:space="preserve">Demeure </w:t>
      </w:r>
      <w:r>
        <w:rPr>
          <w:rFonts w:asciiTheme="majorHAnsi" w:hAnsiTheme="majorHAnsi" w:cs="Calibri"/>
          <w:sz w:val="20"/>
          <w:szCs w:val="20"/>
        </w:rPr>
        <w:t xml:space="preserve">Historique – </w:t>
      </w:r>
      <w:hyperlink r:id="rId8" w:history="1">
        <w:r w:rsidRPr="00F9491D">
          <w:rPr>
            <w:rStyle w:val="Lienhypertexte"/>
            <w:rFonts w:asciiTheme="majorHAnsi" w:hAnsiTheme="majorHAnsi" w:cs="Calibri"/>
            <w:sz w:val="20"/>
            <w:szCs w:val="20"/>
          </w:rPr>
          <w:t>thierry.nouvel@demeure-historique.org</w:t>
        </w:r>
      </w:hyperlink>
      <w:r>
        <w:rPr>
          <w:rFonts w:asciiTheme="majorHAnsi" w:hAnsiTheme="majorHAnsi" w:cs="Calibri"/>
          <w:sz w:val="20"/>
          <w:szCs w:val="20"/>
        </w:rPr>
        <w:t xml:space="preserve"> </w:t>
      </w:r>
      <w:r w:rsidRPr="00A33F59">
        <w:rPr>
          <w:rFonts w:asciiTheme="majorHAnsi" w:hAnsiTheme="majorHAnsi"/>
          <w:sz w:val="20"/>
          <w:szCs w:val="20"/>
        </w:rPr>
        <w:t>01 86 95 53 02</w:t>
      </w:r>
    </w:p>
    <w:p w14:paraId="523D8910" w14:textId="77777777" w:rsidR="00FB59A0" w:rsidRDefault="00FB59A0" w:rsidP="00FB59A0">
      <w:pPr>
        <w:spacing w:after="0" w:line="240" w:lineRule="auto"/>
        <w:jc w:val="center"/>
        <w:rPr>
          <w:rFonts w:asciiTheme="majorHAnsi" w:hAnsiTheme="majorHAnsi"/>
          <w:sz w:val="20"/>
          <w:szCs w:val="20"/>
        </w:rPr>
      </w:pPr>
      <w:r>
        <w:rPr>
          <w:rFonts w:asciiTheme="majorHAnsi" w:hAnsiTheme="majorHAnsi"/>
          <w:sz w:val="20"/>
          <w:szCs w:val="20"/>
        </w:rPr>
        <w:t xml:space="preserve">Maisons paysannes de France – Camille Morvan – </w:t>
      </w:r>
      <w:hyperlink r:id="rId9" w:history="1">
        <w:r w:rsidRPr="00231EF2">
          <w:rPr>
            <w:rStyle w:val="Lienhypertexte"/>
            <w:rFonts w:asciiTheme="majorHAnsi" w:hAnsiTheme="majorHAnsi"/>
            <w:sz w:val="20"/>
            <w:szCs w:val="20"/>
          </w:rPr>
          <w:t>communication@maisons-paysannes.org</w:t>
        </w:r>
      </w:hyperlink>
      <w:r>
        <w:rPr>
          <w:rFonts w:asciiTheme="majorHAnsi" w:hAnsiTheme="majorHAnsi"/>
          <w:sz w:val="20"/>
          <w:szCs w:val="20"/>
        </w:rPr>
        <w:t xml:space="preserve"> - 01 44 83 63 64</w:t>
      </w:r>
    </w:p>
    <w:p w14:paraId="1DC01F41" w14:textId="77777777" w:rsidR="00FB59A0" w:rsidRDefault="00FB59A0" w:rsidP="00A33F59">
      <w:pPr>
        <w:spacing w:after="0" w:line="240" w:lineRule="auto"/>
        <w:jc w:val="center"/>
        <w:rPr>
          <w:rStyle w:val="Lienhypertexte"/>
          <w:rFonts w:asciiTheme="majorHAnsi" w:hAnsiTheme="majorHAnsi"/>
          <w:sz w:val="20"/>
          <w:szCs w:val="20"/>
        </w:rPr>
      </w:pPr>
      <w:r>
        <w:rPr>
          <w:rFonts w:asciiTheme="majorHAnsi" w:hAnsiTheme="majorHAnsi"/>
          <w:sz w:val="20"/>
          <w:szCs w:val="20"/>
        </w:rPr>
        <w:t xml:space="preserve">Patrimoine Environnement - Anne Lecleziaux </w:t>
      </w:r>
      <w:r w:rsidR="009A0528">
        <w:rPr>
          <w:rFonts w:asciiTheme="majorHAnsi" w:hAnsiTheme="majorHAnsi"/>
          <w:sz w:val="20"/>
          <w:szCs w:val="20"/>
        </w:rPr>
        <w:t>–</w:t>
      </w:r>
      <w:r>
        <w:rPr>
          <w:rFonts w:asciiTheme="majorHAnsi" w:hAnsiTheme="majorHAnsi"/>
          <w:sz w:val="20"/>
          <w:szCs w:val="20"/>
        </w:rPr>
        <w:t xml:space="preserve"> 01</w:t>
      </w:r>
      <w:r w:rsidR="009A0528">
        <w:rPr>
          <w:rFonts w:asciiTheme="majorHAnsi" w:hAnsiTheme="majorHAnsi"/>
          <w:sz w:val="20"/>
          <w:szCs w:val="20"/>
        </w:rPr>
        <w:t xml:space="preserve"> </w:t>
      </w:r>
      <w:r>
        <w:rPr>
          <w:rFonts w:asciiTheme="majorHAnsi" w:hAnsiTheme="majorHAnsi"/>
          <w:sz w:val="20"/>
          <w:szCs w:val="20"/>
        </w:rPr>
        <w:t>42</w:t>
      </w:r>
      <w:r w:rsidR="009A0528">
        <w:rPr>
          <w:rFonts w:asciiTheme="majorHAnsi" w:hAnsiTheme="majorHAnsi"/>
          <w:sz w:val="20"/>
          <w:szCs w:val="20"/>
        </w:rPr>
        <w:t xml:space="preserve"> </w:t>
      </w:r>
      <w:r>
        <w:rPr>
          <w:rFonts w:asciiTheme="majorHAnsi" w:hAnsiTheme="majorHAnsi"/>
          <w:sz w:val="20"/>
          <w:szCs w:val="20"/>
        </w:rPr>
        <w:t>67</w:t>
      </w:r>
      <w:r w:rsidR="009A0528">
        <w:rPr>
          <w:rFonts w:asciiTheme="majorHAnsi" w:hAnsiTheme="majorHAnsi"/>
          <w:sz w:val="20"/>
          <w:szCs w:val="20"/>
        </w:rPr>
        <w:t xml:space="preserve"> </w:t>
      </w:r>
      <w:r>
        <w:rPr>
          <w:rFonts w:asciiTheme="majorHAnsi" w:hAnsiTheme="majorHAnsi"/>
          <w:sz w:val="20"/>
          <w:szCs w:val="20"/>
        </w:rPr>
        <w:t>84</w:t>
      </w:r>
      <w:r w:rsidR="009A0528">
        <w:rPr>
          <w:rFonts w:asciiTheme="majorHAnsi" w:hAnsiTheme="majorHAnsi"/>
          <w:sz w:val="20"/>
          <w:szCs w:val="20"/>
        </w:rPr>
        <w:t xml:space="preserve"> </w:t>
      </w:r>
      <w:r>
        <w:rPr>
          <w:rFonts w:asciiTheme="majorHAnsi" w:hAnsiTheme="majorHAnsi"/>
          <w:sz w:val="20"/>
          <w:szCs w:val="20"/>
        </w:rPr>
        <w:t>00-</w:t>
      </w:r>
      <w:r w:rsidRPr="0098777D">
        <w:rPr>
          <w:rFonts w:asciiTheme="majorHAnsi" w:hAnsiTheme="majorHAnsi"/>
          <w:sz w:val="20"/>
          <w:szCs w:val="20"/>
        </w:rPr>
        <w:t xml:space="preserve"> </w:t>
      </w:r>
      <w:hyperlink r:id="rId10" w:history="1">
        <w:r w:rsidRPr="00231EF2">
          <w:rPr>
            <w:rStyle w:val="Lienhypertexte"/>
            <w:rFonts w:asciiTheme="majorHAnsi" w:hAnsiTheme="majorHAnsi"/>
            <w:sz w:val="20"/>
            <w:szCs w:val="20"/>
          </w:rPr>
          <w:t>contact@associations-patrimoine.org</w:t>
        </w:r>
      </w:hyperlink>
    </w:p>
    <w:p w14:paraId="6E7BBE6D" w14:textId="77777777" w:rsidR="006C7F4E" w:rsidRDefault="00FB59A0" w:rsidP="00A33F59">
      <w:pPr>
        <w:spacing w:after="0" w:line="240" w:lineRule="auto"/>
        <w:jc w:val="center"/>
        <w:rPr>
          <w:rFonts w:asciiTheme="majorHAnsi" w:hAnsiTheme="majorHAnsi"/>
          <w:sz w:val="20"/>
          <w:szCs w:val="20"/>
        </w:rPr>
      </w:pPr>
      <w:r>
        <w:rPr>
          <w:rFonts w:asciiTheme="majorHAnsi" w:hAnsiTheme="majorHAnsi" w:cs="Calibri"/>
          <w:sz w:val="20"/>
          <w:szCs w:val="20"/>
        </w:rPr>
        <w:t xml:space="preserve">Sauvegarde de l’Art Français - </w:t>
      </w:r>
      <w:r w:rsidRPr="007E1A6C">
        <w:rPr>
          <w:rFonts w:asciiTheme="majorHAnsi" w:hAnsiTheme="majorHAnsi" w:cs="Calibri"/>
          <w:sz w:val="20"/>
          <w:szCs w:val="20"/>
        </w:rPr>
        <w:t>Alexia Monteillet</w:t>
      </w:r>
      <w:r>
        <w:rPr>
          <w:rFonts w:asciiTheme="majorHAnsi" w:hAnsiTheme="majorHAnsi" w:cs="Calibri"/>
          <w:sz w:val="20"/>
          <w:szCs w:val="20"/>
        </w:rPr>
        <w:t xml:space="preserve"> -</w:t>
      </w:r>
      <w:r w:rsidRPr="007E1A6C">
        <w:rPr>
          <w:rFonts w:asciiTheme="majorHAnsi" w:hAnsiTheme="majorHAnsi" w:cs="Calibri"/>
          <w:sz w:val="20"/>
          <w:szCs w:val="20"/>
        </w:rPr>
        <w:t xml:space="preserve"> </w:t>
      </w:r>
      <w:hyperlink r:id="rId11" w:history="1">
        <w:r w:rsidRPr="007E1A6C">
          <w:rPr>
            <w:rFonts w:asciiTheme="majorHAnsi" w:hAnsiTheme="majorHAnsi" w:cs="Calibri"/>
            <w:color w:val="0000E9"/>
            <w:sz w:val="20"/>
            <w:szCs w:val="20"/>
            <w:u w:val="single" w:color="0000E9"/>
          </w:rPr>
          <w:t>communication@sauvegardeartfrancais.fr</w:t>
        </w:r>
      </w:hyperlink>
    </w:p>
    <w:p w14:paraId="1C45562F" w14:textId="77777777" w:rsidR="00FB59A0" w:rsidRDefault="00FB59A0" w:rsidP="00A33F59">
      <w:pPr>
        <w:spacing w:after="0" w:line="240" w:lineRule="auto"/>
        <w:jc w:val="center"/>
        <w:rPr>
          <w:rFonts w:asciiTheme="majorHAnsi" w:hAnsiTheme="majorHAnsi"/>
          <w:sz w:val="20"/>
          <w:szCs w:val="20"/>
        </w:rPr>
      </w:pPr>
      <w:r>
        <w:rPr>
          <w:rFonts w:asciiTheme="majorHAnsi" w:hAnsiTheme="majorHAnsi"/>
          <w:sz w:val="20"/>
          <w:szCs w:val="20"/>
        </w:rPr>
        <w:t xml:space="preserve">Sites &amp; Monuments – Julien Lacaze – </w:t>
      </w:r>
      <w:hyperlink r:id="rId12" w:history="1">
        <w:r w:rsidRPr="00A63F2F">
          <w:rPr>
            <w:rStyle w:val="Lienhypertexte"/>
            <w:rFonts w:asciiTheme="majorHAnsi" w:hAnsiTheme="majorHAnsi"/>
            <w:sz w:val="20"/>
            <w:szCs w:val="20"/>
          </w:rPr>
          <w:t>contact@sppef.org</w:t>
        </w:r>
      </w:hyperlink>
      <w:r>
        <w:rPr>
          <w:rFonts w:asciiTheme="majorHAnsi" w:hAnsiTheme="majorHAnsi"/>
          <w:sz w:val="20"/>
          <w:szCs w:val="20"/>
        </w:rPr>
        <w:t xml:space="preserve"> - 06 24 33 58 41</w:t>
      </w:r>
    </w:p>
    <w:p w14:paraId="2B0802D8" w14:textId="77777777" w:rsidR="00FB59A0" w:rsidRPr="00B054CB" w:rsidRDefault="00FB59A0" w:rsidP="00A33F59">
      <w:pPr>
        <w:spacing w:after="0" w:line="240" w:lineRule="auto"/>
      </w:pPr>
      <w:r>
        <w:rPr>
          <w:rFonts w:asciiTheme="majorHAnsi" w:hAnsiTheme="majorHAnsi"/>
          <w:sz w:val="20"/>
          <w:szCs w:val="20"/>
        </w:rPr>
        <w:t xml:space="preserve">Sites et cités remarquables – </w:t>
      </w:r>
      <w:r w:rsidR="00B054CB">
        <w:rPr>
          <w:rFonts w:asciiTheme="majorHAnsi" w:hAnsiTheme="majorHAnsi"/>
          <w:sz w:val="20"/>
          <w:szCs w:val="20"/>
        </w:rPr>
        <w:t>Marylise Ortiz</w:t>
      </w:r>
      <w:r>
        <w:rPr>
          <w:rFonts w:asciiTheme="majorHAnsi" w:hAnsiTheme="majorHAnsi"/>
          <w:sz w:val="20"/>
          <w:szCs w:val="20"/>
        </w:rPr>
        <w:t xml:space="preserve"> </w:t>
      </w:r>
      <w:hyperlink r:id="rId13" w:history="1">
        <w:r w:rsidR="00B054CB" w:rsidRPr="00B054CB">
          <w:rPr>
            <w:rFonts w:asciiTheme="majorHAnsi" w:hAnsiTheme="majorHAnsi"/>
            <w:sz w:val="20"/>
            <w:szCs w:val="20"/>
          </w:rPr>
          <w:t>m.ortiz@sites-cites.fr</w:t>
        </w:r>
      </w:hyperlink>
      <w:r w:rsidRPr="00FB59A0">
        <w:rPr>
          <w:rStyle w:val="Lienhypertexte"/>
          <w:rFonts w:asciiTheme="majorHAnsi" w:hAnsiTheme="majorHAnsi"/>
          <w:color w:val="000000" w:themeColor="text1"/>
          <w:sz w:val="20"/>
          <w:szCs w:val="20"/>
          <w:u w:val="none"/>
        </w:rPr>
        <w:t xml:space="preserve"> - </w:t>
      </w:r>
      <w:r w:rsidR="00B054CB">
        <w:rPr>
          <w:rFonts w:asciiTheme="majorHAnsi" w:hAnsiTheme="majorHAnsi"/>
          <w:sz w:val="20"/>
          <w:szCs w:val="20"/>
        </w:rPr>
        <w:t>0</w:t>
      </w:r>
      <w:r w:rsidR="00B054CB" w:rsidRPr="00B054CB">
        <w:rPr>
          <w:rFonts w:asciiTheme="majorHAnsi" w:hAnsiTheme="majorHAnsi"/>
          <w:sz w:val="20"/>
          <w:szCs w:val="20"/>
        </w:rPr>
        <w:t>6 87 10 26 39</w:t>
      </w:r>
    </w:p>
    <w:p w14:paraId="6D61F407" w14:textId="77777777" w:rsidR="00A33F59" w:rsidRDefault="00FB59A0" w:rsidP="00B054CB">
      <w:pPr>
        <w:spacing w:after="0" w:line="240" w:lineRule="auto"/>
        <w:jc w:val="center"/>
        <w:rPr>
          <w:lang w:val="en-US"/>
        </w:rPr>
      </w:pPr>
      <w:r w:rsidRPr="00FB59A0">
        <w:rPr>
          <w:rFonts w:asciiTheme="majorHAnsi" w:hAnsiTheme="majorHAnsi"/>
          <w:sz w:val="20"/>
          <w:szCs w:val="20"/>
          <w:lang w:val="en-US"/>
        </w:rPr>
        <w:t xml:space="preserve">VMF – </w:t>
      </w:r>
      <w:hyperlink r:id="rId14" w:history="1">
        <w:r w:rsidRPr="009A0528">
          <w:rPr>
            <w:rStyle w:val="Lienhypertexte"/>
            <w:rFonts w:asciiTheme="majorHAnsi" w:hAnsiTheme="majorHAnsi"/>
            <w:color w:val="2F5496" w:themeColor="accent5" w:themeShade="BF"/>
            <w:sz w:val="20"/>
            <w:szCs w:val="20"/>
            <w:lang w:val="en-US"/>
          </w:rPr>
          <w:t>beatrice.deleyssac@vmfpatrimoine.org</w:t>
        </w:r>
      </w:hyperlink>
      <w:r w:rsidRPr="009A0528">
        <w:rPr>
          <w:rStyle w:val="Lienhypertexte"/>
          <w:rFonts w:asciiTheme="majorHAnsi" w:hAnsiTheme="majorHAnsi"/>
          <w:color w:val="2F5496" w:themeColor="accent5" w:themeShade="BF"/>
          <w:sz w:val="20"/>
          <w:szCs w:val="20"/>
          <w:lang w:val="en-US"/>
        </w:rPr>
        <w:t xml:space="preserve"> </w:t>
      </w:r>
      <w:r w:rsidR="00A33F59">
        <w:rPr>
          <w:lang w:val="en-US"/>
        </w:rPr>
        <w:t>–</w:t>
      </w:r>
      <w:r w:rsidRPr="00FB59A0">
        <w:rPr>
          <w:lang w:val="en-US"/>
        </w:rPr>
        <w:t xml:space="preserve"> </w:t>
      </w:r>
      <w:r w:rsidR="00A33F59" w:rsidRPr="00A33F59">
        <w:rPr>
          <w:rFonts w:asciiTheme="majorHAnsi" w:hAnsiTheme="majorHAnsi"/>
          <w:sz w:val="20"/>
          <w:szCs w:val="20"/>
          <w:lang w:val="en-US"/>
        </w:rPr>
        <w:t>01 42 62 61 81</w:t>
      </w:r>
    </w:p>
    <w:p w14:paraId="61DBAF65" w14:textId="77777777" w:rsidR="00FB59A0" w:rsidRPr="00FB59A0" w:rsidRDefault="00A33F59" w:rsidP="00B054CB">
      <w:pPr>
        <w:spacing w:after="0" w:line="240" w:lineRule="auto"/>
        <w:jc w:val="center"/>
        <w:rPr>
          <w:rFonts w:asciiTheme="majorHAnsi" w:hAnsiTheme="majorHAnsi"/>
          <w:sz w:val="20"/>
          <w:szCs w:val="20"/>
          <w:lang w:val="en-US"/>
        </w:rPr>
      </w:pPr>
      <w:r>
        <w:rPr>
          <w:rFonts w:asciiTheme="majorHAnsi" w:hAnsiTheme="majorHAnsi"/>
          <w:sz w:val="20"/>
          <w:szCs w:val="20"/>
          <w:lang w:val="en-US"/>
        </w:rPr>
        <w:t xml:space="preserve">VMF - Philippe Toussaint - </w:t>
      </w:r>
      <w:r w:rsidR="009A0528">
        <w:rPr>
          <w:rFonts w:asciiTheme="majorHAnsi" w:hAnsiTheme="majorHAnsi"/>
          <w:sz w:val="20"/>
          <w:szCs w:val="20"/>
          <w:lang w:val="en-US"/>
        </w:rPr>
        <w:t>06 18 41 59 30</w:t>
      </w:r>
    </w:p>
    <w:p w14:paraId="43E4A376" w14:textId="77777777" w:rsidR="00FB59A0" w:rsidRPr="00FB59A0" w:rsidRDefault="00FB59A0" w:rsidP="00FB59A0">
      <w:pPr>
        <w:rPr>
          <w:lang w:val="en-US"/>
        </w:rPr>
      </w:pPr>
    </w:p>
    <w:p w14:paraId="355FC3AE" w14:textId="77777777" w:rsidR="00610DB5" w:rsidRPr="00FB59A0" w:rsidRDefault="00610DB5" w:rsidP="00D54998">
      <w:pPr>
        <w:spacing w:after="0" w:line="240" w:lineRule="auto"/>
        <w:ind w:left="-851" w:right="-567"/>
        <w:jc w:val="center"/>
        <w:rPr>
          <w:rFonts w:cs="Bangla MN"/>
          <w:sz w:val="24"/>
          <w:szCs w:val="24"/>
          <w:u w:val="single"/>
          <w:lang w:val="en-US"/>
        </w:rPr>
      </w:pPr>
    </w:p>
    <w:p w14:paraId="35E2AD93" w14:textId="77777777" w:rsidR="00DF17B4" w:rsidRPr="00FB59A0" w:rsidRDefault="00DF17B4" w:rsidP="0028760E">
      <w:pPr>
        <w:jc w:val="both"/>
        <w:rPr>
          <w:rFonts w:ascii="Cambria" w:hAnsi="Cambria" w:cs="Bangla MN"/>
          <w:sz w:val="24"/>
          <w:szCs w:val="24"/>
          <w:lang w:val="en-US"/>
        </w:rPr>
      </w:pPr>
    </w:p>
    <w:sectPr w:rsidR="00DF17B4" w:rsidRPr="00FB59A0" w:rsidSect="00610DB5">
      <w:headerReference w:type="default" r:id="rId15"/>
      <w:pgSz w:w="11906" w:h="16838"/>
      <w:pgMar w:top="1417" w:right="1417" w:bottom="1417" w:left="1417" w:header="23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4991B" w14:textId="77777777" w:rsidR="0092576C" w:rsidRDefault="0092576C" w:rsidP="00610DB5">
      <w:pPr>
        <w:spacing w:after="0" w:line="240" w:lineRule="auto"/>
      </w:pPr>
      <w:r>
        <w:separator/>
      </w:r>
    </w:p>
  </w:endnote>
  <w:endnote w:type="continuationSeparator" w:id="0">
    <w:p w14:paraId="652BA09D" w14:textId="77777777" w:rsidR="0092576C" w:rsidRDefault="0092576C" w:rsidP="0061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Bangla MN">
    <w:panose1 w:val="02000500020000000000"/>
    <w:charset w:val="00"/>
    <w:family w:val="auto"/>
    <w:pitch w:val="variable"/>
    <w:sig w:usb0="0001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99F31" w14:textId="77777777" w:rsidR="0092576C" w:rsidRDefault="0092576C" w:rsidP="00610DB5">
      <w:pPr>
        <w:spacing w:after="0" w:line="240" w:lineRule="auto"/>
      </w:pPr>
      <w:r>
        <w:separator/>
      </w:r>
    </w:p>
  </w:footnote>
  <w:footnote w:type="continuationSeparator" w:id="0">
    <w:p w14:paraId="620E3B06" w14:textId="77777777" w:rsidR="0092576C" w:rsidRDefault="0092576C" w:rsidP="00610DB5">
      <w:pPr>
        <w:spacing w:after="0" w:line="240" w:lineRule="auto"/>
      </w:pPr>
      <w:r>
        <w:continuationSeparator/>
      </w:r>
    </w:p>
  </w:footnote>
  <w:footnote w:id="1">
    <w:p w14:paraId="48A57D78" w14:textId="77777777" w:rsidR="00BA775E" w:rsidRDefault="00BA775E">
      <w:pPr>
        <w:pStyle w:val="Notedebasdepage"/>
      </w:pPr>
      <w:r>
        <w:rPr>
          <w:rStyle w:val="Appelnotedebasdep"/>
        </w:rPr>
        <w:footnoteRef/>
      </w:r>
      <w:r>
        <w:t xml:space="preserve"> </w:t>
      </w:r>
      <w:r w:rsidR="00085E3B">
        <w:rPr>
          <w:rFonts w:ascii="Cambria" w:hAnsi="Cambria"/>
          <w:szCs w:val="24"/>
        </w:rPr>
        <w:t>q</w:t>
      </w:r>
      <w:r w:rsidRPr="00BA775E">
        <w:rPr>
          <w:rFonts w:ascii="Cambria" w:hAnsi="Cambria"/>
          <w:szCs w:val="24"/>
        </w:rPr>
        <w:t>ui fédère toutes les associations d’agents du service des monuments historiques</w:t>
      </w:r>
      <w:r w:rsidR="00085E3B">
        <w:rPr>
          <w:rFonts w:ascii="Cambria" w:hAnsi="Cambria"/>
          <w:szCs w:val="24"/>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1924A" w14:textId="77777777" w:rsidR="00FB59A0" w:rsidRDefault="00610DB5" w:rsidP="008E6912">
    <w:pPr>
      <w:pStyle w:val="Titre1"/>
      <w:ind w:left="-1134" w:right="-1276"/>
      <w:jc w:val="center"/>
      <w:rPr>
        <w:rFonts w:ascii="Cambria" w:hAnsi="Cambria" w:cs="Bangla MN"/>
        <w:sz w:val="24"/>
        <w:szCs w:val="24"/>
      </w:rPr>
    </w:pPr>
    <w:r>
      <w:rPr>
        <w:rFonts w:ascii="Cambria" w:hAnsi="Cambria" w:cs="Bangla MN"/>
        <w:sz w:val="24"/>
        <w:szCs w:val="24"/>
      </w:rPr>
      <w:t xml:space="preserve"> </w:t>
    </w:r>
    <w:r w:rsidR="000069BF">
      <w:rPr>
        <w:rFonts w:ascii="Cambria" w:hAnsi="Cambria" w:cs="Bangla MN"/>
        <w:noProof/>
        <w:sz w:val="24"/>
        <w:szCs w:val="24"/>
        <w:lang w:eastAsia="fr-FR"/>
      </w:rPr>
      <w:drawing>
        <wp:inline distT="0" distB="0" distL="0" distR="0" wp14:anchorId="1447F253" wp14:editId="27280E14">
          <wp:extent cx="807395" cy="610886"/>
          <wp:effectExtent l="0" t="0" r="571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IAM.jpg"/>
                  <pic:cNvPicPr/>
                </pic:nvPicPr>
                <pic:blipFill>
                  <a:blip r:embed="rId1">
                    <a:extLst>
                      <a:ext uri="{28A0092B-C50C-407E-A947-70E740481C1C}">
                        <a14:useLocalDpi xmlns:a14="http://schemas.microsoft.com/office/drawing/2010/main" val="0"/>
                      </a:ext>
                    </a:extLst>
                  </a:blip>
                  <a:stretch>
                    <a:fillRect/>
                  </a:stretch>
                </pic:blipFill>
                <pic:spPr>
                  <a:xfrm>
                    <a:off x="0" y="0"/>
                    <a:ext cx="842742" cy="637630"/>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lang w:eastAsia="fr-FR"/>
      </w:rPr>
      <w:drawing>
        <wp:inline distT="0" distB="0" distL="0" distR="0" wp14:anchorId="46B0EA62" wp14:editId="0C1C98A2">
          <wp:extent cx="889000" cy="5343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56b6d50770bfassociation des biens Français du Patrimoine mond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8641" cy="552177"/>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lang w:eastAsia="fr-FR"/>
      </w:rPr>
      <w:drawing>
        <wp:inline distT="0" distB="0" distL="0" distR="0" wp14:anchorId="401828F6" wp14:editId="79E8425A">
          <wp:extent cx="609600" cy="609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roupe-DH blanc sur rouge.jpeg"/>
                  <pic:cNvPicPr/>
                </pic:nvPicPr>
                <pic:blipFill>
                  <a:blip r:embed="rId3">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lang w:eastAsia="fr-FR"/>
      </w:rPr>
      <w:drawing>
        <wp:inline distT="0" distB="0" distL="0" distR="0" wp14:anchorId="5E46607E" wp14:editId="4CF0ADE5">
          <wp:extent cx="1054100" cy="466382"/>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pf.png"/>
                  <pic:cNvPicPr/>
                </pic:nvPicPr>
                <pic:blipFill>
                  <a:blip r:embed="rId4">
                    <a:extLst>
                      <a:ext uri="{28A0092B-C50C-407E-A947-70E740481C1C}">
                        <a14:useLocalDpi xmlns:a14="http://schemas.microsoft.com/office/drawing/2010/main" val="0"/>
                      </a:ext>
                    </a:extLst>
                  </a:blip>
                  <a:stretch>
                    <a:fillRect/>
                  </a:stretch>
                </pic:blipFill>
                <pic:spPr>
                  <a:xfrm>
                    <a:off x="0" y="0"/>
                    <a:ext cx="1073143" cy="474807"/>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lang w:eastAsia="fr-FR"/>
      </w:rPr>
      <w:drawing>
        <wp:inline distT="0" distB="0" distL="0" distR="0" wp14:anchorId="484C0827" wp14:editId="27E19178">
          <wp:extent cx="1029970" cy="70381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trimoine environnement.jpg"/>
                  <pic:cNvPicPr/>
                </pic:nvPicPr>
                <pic:blipFill>
                  <a:blip r:embed="rId5">
                    <a:extLst>
                      <a:ext uri="{28A0092B-C50C-407E-A947-70E740481C1C}">
                        <a14:useLocalDpi xmlns:a14="http://schemas.microsoft.com/office/drawing/2010/main" val="0"/>
                      </a:ext>
                    </a:extLst>
                  </a:blip>
                  <a:stretch>
                    <a:fillRect/>
                  </a:stretch>
                </pic:blipFill>
                <pic:spPr>
                  <a:xfrm>
                    <a:off x="0" y="0"/>
                    <a:ext cx="1048900" cy="716747"/>
                  </a:xfrm>
                  <a:prstGeom prst="rect">
                    <a:avLst/>
                  </a:prstGeom>
                </pic:spPr>
              </pic:pic>
            </a:graphicData>
          </a:graphic>
        </wp:inline>
      </w:drawing>
    </w:r>
    <w:r>
      <w:rPr>
        <w:rFonts w:ascii="Cambria" w:hAnsi="Cambria" w:cs="Bangla MN"/>
        <w:sz w:val="24"/>
        <w:szCs w:val="24"/>
      </w:rPr>
      <w:t xml:space="preserve">      </w:t>
    </w:r>
    <w:r w:rsidR="00B054CB">
      <w:rPr>
        <w:rFonts w:ascii="Cambria" w:hAnsi="Cambria" w:cs="Bangla MN"/>
        <w:noProof/>
        <w:sz w:val="24"/>
        <w:szCs w:val="24"/>
        <w:lang w:eastAsia="fr-FR"/>
      </w:rPr>
      <w:drawing>
        <wp:inline distT="0" distB="0" distL="0" distR="0" wp14:anchorId="13965F25" wp14:editId="0ACCCAEA">
          <wp:extent cx="1614792" cy="582551"/>
          <wp:effectExtent l="0" t="0" r="0" b="190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RGSF-Final.png"/>
                  <pic:cNvPicPr/>
                </pic:nvPicPr>
                <pic:blipFill>
                  <a:blip r:embed="rId6">
                    <a:extLst>
                      <a:ext uri="{28A0092B-C50C-407E-A947-70E740481C1C}">
                        <a14:useLocalDpi xmlns:a14="http://schemas.microsoft.com/office/drawing/2010/main" val="0"/>
                      </a:ext>
                    </a:extLst>
                  </a:blip>
                  <a:stretch>
                    <a:fillRect/>
                  </a:stretch>
                </pic:blipFill>
                <pic:spPr>
                  <a:xfrm>
                    <a:off x="0" y="0"/>
                    <a:ext cx="1667468" cy="601554"/>
                  </a:xfrm>
                  <a:prstGeom prst="rect">
                    <a:avLst/>
                  </a:prstGeom>
                </pic:spPr>
              </pic:pic>
            </a:graphicData>
          </a:graphic>
        </wp:inline>
      </w:drawing>
    </w:r>
  </w:p>
  <w:p w14:paraId="7C960D87" w14:textId="77777777" w:rsidR="00FB59A0" w:rsidRDefault="000E3A53" w:rsidP="008E6912">
    <w:pPr>
      <w:pStyle w:val="Titre1"/>
      <w:ind w:left="-1134" w:right="-1276"/>
      <w:jc w:val="center"/>
      <w:rPr>
        <w:rFonts w:ascii="Cambria" w:hAnsi="Cambria" w:cs="Bangla MN"/>
        <w:sz w:val="24"/>
        <w:szCs w:val="24"/>
      </w:rPr>
    </w:pPr>
    <w:r>
      <w:rPr>
        <w:rFonts w:ascii="Cambria" w:hAnsi="Cambria" w:cs="Bangla MN"/>
        <w:sz w:val="24"/>
        <w:szCs w:val="24"/>
      </w:rPr>
      <w:t xml:space="preserve">   </w:t>
    </w:r>
    <w:r w:rsidR="008E6912">
      <w:rPr>
        <w:rFonts w:ascii="Cambria" w:hAnsi="Cambria" w:cs="Bangla MN"/>
        <w:b/>
        <w:noProof/>
        <w:szCs w:val="24"/>
        <w:lang w:eastAsia="fr-FR"/>
      </w:rPr>
      <w:drawing>
        <wp:inline distT="0" distB="0" distL="0" distR="0" wp14:anchorId="6D911685" wp14:editId="7219F043">
          <wp:extent cx="609600" cy="6096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SPPEF.png"/>
                  <pic:cNvPicPr/>
                </pic:nvPicPr>
                <pic:blipFill>
                  <a:blip r:embed="rId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sidR="008E6912">
      <w:rPr>
        <w:rFonts w:ascii="Cambria" w:hAnsi="Cambria" w:cs="Bangla MN"/>
        <w:sz w:val="24"/>
        <w:szCs w:val="24"/>
      </w:rPr>
      <w:t xml:space="preserve">  </w:t>
    </w:r>
    <w:r w:rsidR="00610DB5">
      <w:rPr>
        <w:rFonts w:ascii="Cambria" w:hAnsi="Cambria" w:cs="Bangla MN"/>
        <w:noProof/>
        <w:sz w:val="24"/>
        <w:szCs w:val="24"/>
        <w:lang w:eastAsia="fr-FR"/>
      </w:rPr>
      <w:drawing>
        <wp:inline distT="0" distB="0" distL="0" distR="0" wp14:anchorId="68233598" wp14:editId="29CC00C8">
          <wp:extent cx="7620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ites cités de caractère logo.png"/>
                  <pic:cNvPicPr/>
                </pic:nvPicPr>
                <pic:blipFill>
                  <a:blip r:embed="rId8">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rPr>
        <w:rFonts w:ascii="Cambria" w:hAnsi="Cambria" w:cs="Bangla MN"/>
        <w:sz w:val="24"/>
        <w:szCs w:val="24"/>
      </w:rPr>
      <w:t xml:space="preserve">  </w:t>
    </w:r>
    <w:r>
      <w:rPr>
        <w:rFonts w:ascii="Cambria" w:hAnsi="Cambria" w:cs="Bangla MN"/>
        <w:noProof/>
        <w:sz w:val="24"/>
        <w:szCs w:val="24"/>
        <w:lang w:eastAsia="fr-FR"/>
      </w:rPr>
      <w:drawing>
        <wp:inline distT="0" distB="0" distL="0" distR="0" wp14:anchorId="1246B61A" wp14:editId="3DC4B4D3">
          <wp:extent cx="1297431" cy="8108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tes_cités_remarquable.png"/>
                  <pic:cNvPicPr/>
                </pic:nvPicPr>
                <pic:blipFill>
                  <a:blip r:embed="rId9">
                    <a:extLst>
                      <a:ext uri="{28A0092B-C50C-407E-A947-70E740481C1C}">
                        <a14:useLocalDpi xmlns:a14="http://schemas.microsoft.com/office/drawing/2010/main" val="0"/>
                      </a:ext>
                    </a:extLst>
                  </a:blip>
                  <a:stretch>
                    <a:fillRect/>
                  </a:stretch>
                </pic:blipFill>
                <pic:spPr>
                  <a:xfrm>
                    <a:off x="0" y="0"/>
                    <a:ext cx="1307164" cy="816978"/>
                  </a:xfrm>
                  <a:prstGeom prst="rect">
                    <a:avLst/>
                  </a:prstGeom>
                </pic:spPr>
              </pic:pic>
            </a:graphicData>
          </a:graphic>
        </wp:inline>
      </w:drawing>
    </w:r>
    <w:r w:rsidR="00610DB5">
      <w:rPr>
        <w:rFonts w:ascii="Cambria" w:hAnsi="Cambria" w:cs="Bangla MN"/>
        <w:noProof/>
        <w:sz w:val="24"/>
        <w:szCs w:val="24"/>
        <w:lang w:eastAsia="fr-FR"/>
      </w:rPr>
      <w:drawing>
        <wp:inline distT="0" distB="0" distL="0" distR="0" wp14:anchorId="3E59D107" wp14:editId="16B4D33C">
          <wp:extent cx="634931" cy="761502"/>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mpa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9562" cy="791043"/>
                  </a:xfrm>
                  <a:prstGeom prst="rect">
                    <a:avLst/>
                  </a:prstGeom>
                </pic:spPr>
              </pic:pic>
            </a:graphicData>
          </a:graphic>
        </wp:inline>
      </w:drawing>
    </w:r>
    <w:r w:rsidR="00610DB5">
      <w:rPr>
        <w:rFonts w:ascii="Cambria" w:hAnsi="Cambria" w:cs="Bangla MN"/>
        <w:sz w:val="24"/>
        <w:szCs w:val="24"/>
      </w:rPr>
      <w:t xml:space="preserve">  </w:t>
    </w:r>
    <w:r w:rsidR="00610DB5">
      <w:rPr>
        <w:rFonts w:ascii="Cambria" w:hAnsi="Cambria" w:cs="Bangla MN"/>
        <w:noProof/>
        <w:sz w:val="24"/>
        <w:szCs w:val="24"/>
        <w:lang w:eastAsia="fr-FR"/>
      </w:rPr>
      <w:drawing>
        <wp:inline distT="0" distB="0" distL="0" distR="0" wp14:anchorId="32186889" wp14:editId="6D6F0B09">
          <wp:extent cx="1244600" cy="1244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SAUVEGARDE_RVB_fond-blan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4600" cy="1244600"/>
                  </a:xfrm>
                  <a:prstGeom prst="rect">
                    <a:avLst/>
                  </a:prstGeom>
                </pic:spPr>
              </pic:pic>
            </a:graphicData>
          </a:graphic>
        </wp:inline>
      </w:drawing>
    </w:r>
    <w:r w:rsidR="00610DB5">
      <w:rPr>
        <w:rFonts w:ascii="Cambria" w:hAnsi="Cambria" w:cs="Bangla MN"/>
        <w:sz w:val="24"/>
        <w:szCs w:val="24"/>
      </w:rPr>
      <w:t xml:space="preserve"> </w:t>
    </w:r>
    <w:r w:rsidR="00B054CB">
      <w:rPr>
        <w:rFonts w:ascii="Cambria" w:hAnsi="Cambria" w:cs="Bangla MN"/>
        <w:noProof/>
        <w:sz w:val="24"/>
        <w:szCs w:val="24"/>
        <w:lang w:eastAsia="fr-FR"/>
      </w:rPr>
      <w:drawing>
        <wp:inline distT="0" distB="0" distL="0" distR="0" wp14:anchorId="58074C1C" wp14:editId="2AFFA11E">
          <wp:extent cx="894580" cy="61147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1_VMF_LABEL_LOGO_RVB_300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7913" cy="641092"/>
                  </a:xfrm>
                  <a:prstGeom prst="rect">
                    <a:avLst/>
                  </a:prstGeom>
                </pic:spPr>
              </pic:pic>
            </a:graphicData>
          </a:graphic>
        </wp:inline>
      </w:drawing>
    </w:r>
  </w:p>
  <w:p w14:paraId="2391DC6C" w14:textId="77777777" w:rsidR="00610DB5" w:rsidRDefault="00610DB5" w:rsidP="00FB59A0">
    <w:pPr>
      <w:pStyle w:val="Titre1"/>
      <w:ind w:left="-1134" w:right="-1276"/>
      <w:jc w:val="center"/>
      <w:rPr>
        <w:rFonts w:ascii="Cambria" w:hAnsi="Cambria" w:cs="Bangla MN"/>
        <w:sz w:val="24"/>
        <w:szCs w:val="24"/>
      </w:rPr>
    </w:pPr>
    <w:r>
      <w:rPr>
        <w:rFonts w:ascii="Cambria" w:hAnsi="Cambria" w:cs="Bangla MN"/>
        <w:noProof/>
        <w:sz w:val="24"/>
        <w:szCs w:val="24"/>
        <w:lang w:eastAsia="fr-FR"/>
      </w:rPr>
      <w:drawing>
        <wp:inline distT="0" distB="0" distL="0" distR="0" wp14:anchorId="2BD4D8A9" wp14:editId="1F88A04A">
          <wp:extent cx="904875" cy="1001827"/>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us beaux villages de France.png"/>
                  <pic:cNvPicPr/>
                </pic:nvPicPr>
                <pic:blipFill>
                  <a:blip r:embed="rId13">
                    <a:extLst>
                      <a:ext uri="{28A0092B-C50C-407E-A947-70E740481C1C}">
                        <a14:useLocalDpi xmlns:a14="http://schemas.microsoft.com/office/drawing/2010/main" val="0"/>
                      </a:ext>
                    </a:extLst>
                  </a:blip>
                  <a:stretch>
                    <a:fillRect/>
                  </a:stretch>
                </pic:blipFill>
                <pic:spPr>
                  <a:xfrm>
                    <a:off x="0" y="0"/>
                    <a:ext cx="913361" cy="1011222"/>
                  </a:xfrm>
                  <a:prstGeom prst="rect">
                    <a:avLst/>
                  </a:prstGeom>
                </pic:spPr>
              </pic:pic>
            </a:graphicData>
          </a:graphic>
        </wp:inline>
      </w:drawing>
    </w:r>
    <w:r>
      <w:rPr>
        <w:rFonts w:ascii="Cambria" w:hAnsi="Cambria" w:cs="Bangla MN"/>
        <w:sz w:val="24"/>
        <w:szCs w:val="24"/>
      </w:rPr>
      <w:t xml:space="preserve"> </w:t>
    </w:r>
    <w:r w:rsidR="00FB59A0">
      <w:rPr>
        <w:rFonts w:ascii="Cambria" w:hAnsi="Cambria" w:cs="Bangla MN"/>
        <w:sz w:val="24"/>
        <w:szCs w:val="24"/>
      </w:rPr>
      <w:t xml:space="preserve"> </w:t>
    </w:r>
    <w:r>
      <w:rPr>
        <w:rFonts w:ascii="Cambria" w:hAnsi="Cambria" w:cs="Bangla MN"/>
        <w:noProof/>
        <w:sz w:val="24"/>
        <w:szCs w:val="24"/>
        <w:lang w:eastAsia="fr-FR"/>
      </w:rPr>
      <w:drawing>
        <wp:inline distT="0" distB="0" distL="0" distR="0" wp14:anchorId="577A0901" wp14:editId="7FB84832">
          <wp:extent cx="645758" cy="901700"/>
          <wp:effectExtent l="0" t="0" r="254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lus beaux détours de France.jpg"/>
                  <pic:cNvPicPr/>
                </pic:nvPicPr>
                <pic:blipFill>
                  <a:blip r:embed="rId14">
                    <a:extLst>
                      <a:ext uri="{28A0092B-C50C-407E-A947-70E740481C1C}">
                        <a14:useLocalDpi xmlns:a14="http://schemas.microsoft.com/office/drawing/2010/main" val="0"/>
                      </a:ext>
                    </a:extLst>
                  </a:blip>
                  <a:stretch>
                    <a:fillRect/>
                  </a:stretch>
                </pic:blipFill>
                <pic:spPr>
                  <a:xfrm>
                    <a:off x="0" y="0"/>
                    <a:ext cx="658150" cy="919004"/>
                  </a:xfrm>
                  <a:prstGeom prst="rect">
                    <a:avLst/>
                  </a:prstGeom>
                </pic:spPr>
              </pic:pic>
            </a:graphicData>
          </a:graphic>
        </wp:inline>
      </w:drawing>
    </w:r>
    <w:r>
      <w:rPr>
        <w:rFonts w:ascii="Cambria" w:hAnsi="Cambria" w:cs="Bangla MN"/>
        <w:sz w:val="24"/>
        <w:szCs w:val="24"/>
      </w:rPr>
      <w:t xml:space="preserve">  </w:t>
    </w:r>
    <w:r w:rsidR="00FB59A0">
      <w:rPr>
        <w:rFonts w:ascii="Cambria" w:hAnsi="Cambria" w:cs="Bangla MN"/>
        <w:sz w:val="24"/>
        <w:szCs w:val="24"/>
      </w:rPr>
      <w:t xml:space="preserve"> </w:t>
    </w:r>
    <w:r>
      <w:rPr>
        <w:rFonts w:ascii="Cambria" w:hAnsi="Cambria" w:cs="Bangla MN"/>
        <w:sz w:val="24"/>
        <w:szCs w:val="24"/>
      </w:rPr>
      <w:t xml:space="preserve"> </w:t>
    </w:r>
    <w:r w:rsidR="00FB59A0">
      <w:rPr>
        <w:rFonts w:ascii="Cambria" w:hAnsi="Cambria" w:cs="Bangla MN"/>
        <w:noProof/>
        <w:sz w:val="24"/>
        <w:szCs w:val="24"/>
        <w:lang w:eastAsia="fr-FR"/>
      </w:rPr>
      <w:drawing>
        <wp:inline distT="0" distB="0" distL="0" distR="0" wp14:anchorId="5BB6A863" wp14:editId="0966D27B">
          <wp:extent cx="801635" cy="92075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édération nationale des Parcs naturels.png"/>
                  <pic:cNvPicPr/>
                </pic:nvPicPr>
                <pic:blipFill>
                  <a:blip r:embed="rId15">
                    <a:extLst>
                      <a:ext uri="{28A0092B-C50C-407E-A947-70E740481C1C}">
                        <a14:useLocalDpi xmlns:a14="http://schemas.microsoft.com/office/drawing/2010/main" val="0"/>
                      </a:ext>
                    </a:extLst>
                  </a:blip>
                  <a:stretch>
                    <a:fillRect/>
                  </a:stretch>
                </pic:blipFill>
                <pic:spPr>
                  <a:xfrm>
                    <a:off x="0" y="0"/>
                    <a:ext cx="816316" cy="937612"/>
                  </a:xfrm>
                  <a:prstGeom prst="rect">
                    <a:avLst/>
                  </a:prstGeom>
                </pic:spPr>
              </pic:pic>
            </a:graphicData>
          </a:graphic>
        </wp:inline>
      </w:drawing>
    </w:r>
  </w:p>
  <w:p w14:paraId="2DC1CFC3" w14:textId="77777777" w:rsidR="00610DB5" w:rsidRDefault="00610DB5">
    <w:pPr>
      <w:pStyle w:val="En-tte"/>
    </w:pPr>
  </w:p>
  <w:p w14:paraId="7F4C2BFA" w14:textId="77777777" w:rsidR="00610DB5" w:rsidRDefault="00610DB5">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F35E6"/>
    <w:multiLevelType w:val="hybridMultilevel"/>
    <w:tmpl w:val="8FD42F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3A6CDB"/>
    <w:multiLevelType w:val="hybridMultilevel"/>
    <w:tmpl w:val="CFE874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069BF"/>
    <w:rsid w:val="00085E3B"/>
    <w:rsid w:val="000E3A53"/>
    <w:rsid w:val="001A0D9D"/>
    <w:rsid w:val="00205B9A"/>
    <w:rsid w:val="00230866"/>
    <w:rsid w:val="002421D2"/>
    <w:rsid w:val="0028760E"/>
    <w:rsid w:val="002C5D7B"/>
    <w:rsid w:val="002F63E6"/>
    <w:rsid w:val="003E19B8"/>
    <w:rsid w:val="00412B1F"/>
    <w:rsid w:val="00453F85"/>
    <w:rsid w:val="004D731A"/>
    <w:rsid w:val="005B04A0"/>
    <w:rsid w:val="005C66DD"/>
    <w:rsid w:val="00610DB5"/>
    <w:rsid w:val="00615F7F"/>
    <w:rsid w:val="00652D9D"/>
    <w:rsid w:val="00696E09"/>
    <w:rsid w:val="006B1AEE"/>
    <w:rsid w:val="006B4463"/>
    <w:rsid w:val="006C7F4E"/>
    <w:rsid w:val="006D4266"/>
    <w:rsid w:val="007B283E"/>
    <w:rsid w:val="00881193"/>
    <w:rsid w:val="008E6912"/>
    <w:rsid w:val="0092576C"/>
    <w:rsid w:val="00930158"/>
    <w:rsid w:val="00956509"/>
    <w:rsid w:val="009A0528"/>
    <w:rsid w:val="009A107E"/>
    <w:rsid w:val="00A126A3"/>
    <w:rsid w:val="00A33F59"/>
    <w:rsid w:val="00A4574B"/>
    <w:rsid w:val="00A953CD"/>
    <w:rsid w:val="00AD5AF0"/>
    <w:rsid w:val="00B054CB"/>
    <w:rsid w:val="00BA775E"/>
    <w:rsid w:val="00BA7F26"/>
    <w:rsid w:val="00C2413B"/>
    <w:rsid w:val="00CA1124"/>
    <w:rsid w:val="00D2435A"/>
    <w:rsid w:val="00D267FD"/>
    <w:rsid w:val="00D410F2"/>
    <w:rsid w:val="00D54998"/>
    <w:rsid w:val="00D7216C"/>
    <w:rsid w:val="00DF17B4"/>
    <w:rsid w:val="00E15B64"/>
    <w:rsid w:val="00EA2A3B"/>
    <w:rsid w:val="00EA4423"/>
    <w:rsid w:val="00F47979"/>
    <w:rsid w:val="00FB59A0"/>
    <w:rsid w:val="00FC77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8FBF3E"/>
  <w15:chartTrackingRefBased/>
  <w15:docId w15:val="{2932358D-71D6-4ECD-8DEA-C1C4571C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A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FC7774"/>
    <w:pPr>
      <w:ind w:left="720"/>
      <w:contextualSpacing/>
    </w:pPr>
  </w:style>
  <w:style w:type="paragraph" w:styleId="Textedebulles">
    <w:name w:val="Balloon Text"/>
    <w:basedOn w:val="Normal"/>
    <w:link w:val="TextedebullesCar"/>
    <w:uiPriority w:val="99"/>
    <w:semiHidden/>
    <w:unhideWhenUsed/>
    <w:rsid w:val="002876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60E"/>
    <w:rPr>
      <w:rFonts w:ascii="Segoe UI" w:hAnsi="Segoe UI" w:cs="Segoe UI"/>
      <w:sz w:val="18"/>
      <w:szCs w:val="18"/>
    </w:rPr>
  </w:style>
  <w:style w:type="character" w:customStyle="1" w:styleId="Titre1Car">
    <w:name w:val="Titre 1 Car"/>
    <w:basedOn w:val="Policepardfaut"/>
    <w:link w:val="Titre1"/>
    <w:uiPriority w:val="9"/>
    <w:rsid w:val="00EA2A3B"/>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DF17B4"/>
    <w:rPr>
      <w:color w:val="0563C1" w:themeColor="hyperlink"/>
      <w:u w:val="single"/>
    </w:rPr>
  </w:style>
  <w:style w:type="character" w:styleId="Lienhypertextevisit">
    <w:name w:val="FollowedHyperlink"/>
    <w:basedOn w:val="Policepardfaut"/>
    <w:uiPriority w:val="99"/>
    <w:semiHidden/>
    <w:unhideWhenUsed/>
    <w:rsid w:val="00DF17B4"/>
    <w:rPr>
      <w:color w:val="954F72" w:themeColor="followedHyperlink"/>
      <w:u w:val="single"/>
    </w:rPr>
  </w:style>
  <w:style w:type="character" w:customStyle="1" w:styleId="UnresolvedMention">
    <w:name w:val="Unresolved Mention"/>
    <w:basedOn w:val="Policepardfaut"/>
    <w:uiPriority w:val="99"/>
    <w:semiHidden/>
    <w:unhideWhenUsed/>
    <w:rsid w:val="00DF17B4"/>
    <w:rPr>
      <w:color w:val="808080"/>
      <w:shd w:val="clear" w:color="auto" w:fill="E6E6E6"/>
    </w:rPr>
  </w:style>
  <w:style w:type="paragraph" w:styleId="En-tte">
    <w:name w:val="header"/>
    <w:basedOn w:val="Normal"/>
    <w:link w:val="En-tteCar"/>
    <w:uiPriority w:val="99"/>
    <w:unhideWhenUsed/>
    <w:rsid w:val="00610DB5"/>
    <w:pPr>
      <w:tabs>
        <w:tab w:val="center" w:pos="4536"/>
        <w:tab w:val="right" w:pos="9072"/>
      </w:tabs>
      <w:spacing w:after="0" w:line="240" w:lineRule="auto"/>
    </w:pPr>
  </w:style>
  <w:style w:type="character" w:customStyle="1" w:styleId="En-tteCar">
    <w:name w:val="En-tête Car"/>
    <w:basedOn w:val="Policepardfaut"/>
    <w:link w:val="En-tte"/>
    <w:uiPriority w:val="99"/>
    <w:rsid w:val="00610DB5"/>
  </w:style>
  <w:style w:type="paragraph" w:styleId="Pieddepage">
    <w:name w:val="footer"/>
    <w:basedOn w:val="Normal"/>
    <w:link w:val="PieddepageCar"/>
    <w:uiPriority w:val="99"/>
    <w:unhideWhenUsed/>
    <w:rsid w:val="00610D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DB5"/>
  </w:style>
  <w:style w:type="paragraph" w:styleId="Notedebasdepage">
    <w:name w:val="footnote text"/>
    <w:basedOn w:val="Normal"/>
    <w:link w:val="NotedebasdepageCar"/>
    <w:uiPriority w:val="99"/>
    <w:semiHidden/>
    <w:unhideWhenUsed/>
    <w:rsid w:val="00BA775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775E"/>
    <w:rPr>
      <w:sz w:val="20"/>
      <w:szCs w:val="20"/>
    </w:rPr>
  </w:style>
  <w:style w:type="character" w:styleId="Appelnotedebasdep">
    <w:name w:val="footnote reference"/>
    <w:basedOn w:val="Policepardfaut"/>
    <w:uiPriority w:val="99"/>
    <w:semiHidden/>
    <w:unhideWhenUsed/>
    <w:rsid w:val="00BA775E"/>
    <w:rPr>
      <w:vertAlign w:val="superscript"/>
    </w:rPr>
  </w:style>
  <w:style w:type="character" w:customStyle="1" w:styleId="st">
    <w:name w:val="st"/>
    <w:basedOn w:val="Policepardfaut"/>
    <w:rsid w:val="00A3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03227">
      <w:bodyDiv w:val="1"/>
      <w:marLeft w:val="0"/>
      <w:marRight w:val="0"/>
      <w:marTop w:val="0"/>
      <w:marBottom w:val="0"/>
      <w:divBdr>
        <w:top w:val="none" w:sz="0" w:space="0" w:color="auto"/>
        <w:left w:val="none" w:sz="0" w:space="0" w:color="auto"/>
        <w:bottom w:val="none" w:sz="0" w:space="0" w:color="auto"/>
        <w:right w:val="none" w:sz="0" w:space="0" w:color="auto"/>
      </w:divBdr>
    </w:div>
    <w:div w:id="467670340">
      <w:bodyDiv w:val="1"/>
      <w:marLeft w:val="0"/>
      <w:marRight w:val="0"/>
      <w:marTop w:val="0"/>
      <w:marBottom w:val="0"/>
      <w:divBdr>
        <w:top w:val="none" w:sz="0" w:space="0" w:color="auto"/>
        <w:left w:val="none" w:sz="0" w:space="0" w:color="auto"/>
        <w:bottom w:val="none" w:sz="0" w:space="0" w:color="auto"/>
        <w:right w:val="none" w:sz="0" w:space="0" w:color="auto"/>
      </w:divBdr>
    </w:div>
    <w:div w:id="878274564">
      <w:bodyDiv w:val="1"/>
      <w:marLeft w:val="0"/>
      <w:marRight w:val="0"/>
      <w:marTop w:val="0"/>
      <w:marBottom w:val="0"/>
      <w:divBdr>
        <w:top w:val="none" w:sz="0" w:space="0" w:color="auto"/>
        <w:left w:val="none" w:sz="0" w:space="0" w:color="auto"/>
        <w:bottom w:val="none" w:sz="0" w:space="0" w:color="auto"/>
        <w:right w:val="none" w:sz="0" w:space="0" w:color="auto"/>
      </w:divBdr>
    </w:div>
    <w:div w:id="1010568628">
      <w:bodyDiv w:val="1"/>
      <w:marLeft w:val="0"/>
      <w:marRight w:val="0"/>
      <w:marTop w:val="0"/>
      <w:marBottom w:val="0"/>
      <w:divBdr>
        <w:top w:val="none" w:sz="0" w:space="0" w:color="auto"/>
        <w:left w:val="none" w:sz="0" w:space="0" w:color="auto"/>
        <w:bottom w:val="none" w:sz="0" w:space="0" w:color="auto"/>
        <w:right w:val="none" w:sz="0" w:space="0" w:color="auto"/>
      </w:divBdr>
    </w:div>
    <w:div w:id="1381058074">
      <w:bodyDiv w:val="1"/>
      <w:marLeft w:val="0"/>
      <w:marRight w:val="0"/>
      <w:marTop w:val="0"/>
      <w:marBottom w:val="0"/>
      <w:divBdr>
        <w:top w:val="none" w:sz="0" w:space="0" w:color="auto"/>
        <w:left w:val="none" w:sz="0" w:space="0" w:color="auto"/>
        <w:bottom w:val="none" w:sz="0" w:space="0" w:color="auto"/>
        <w:right w:val="none" w:sz="0" w:space="0" w:color="auto"/>
      </w:divBdr>
    </w:div>
    <w:div w:id="1388602955">
      <w:bodyDiv w:val="1"/>
      <w:marLeft w:val="0"/>
      <w:marRight w:val="0"/>
      <w:marTop w:val="0"/>
      <w:marBottom w:val="0"/>
      <w:divBdr>
        <w:top w:val="none" w:sz="0" w:space="0" w:color="auto"/>
        <w:left w:val="none" w:sz="0" w:space="0" w:color="auto"/>
        <w:bottom w:val="none" w:sz="0" w:space="0" w:color="auto"/>
        <w:right w:val="none" w:sz="0" w:space="0" w:color="auto"/>
      </w:divBdr>
    </w:div>
    <w:div w:id="1581480622">
      <w:bodyDiv w:val="1"/>
      <w:marLeft w:val="0"/>
      <w:marRight w:val="0"/>
      <w:marTop w:val="0"/>
      <w:marBottom w:val="0"/>
      <w:divBdr>
        <w:top w:val="none" w:sz="0" w:space="0" w:color="auto"/>
        <w:left w:val="none" w:sz="0" w:space="0" w:color="auto"/>
        <w:bottom w:val="none" w:sz="0" w:space="0" w:color="auto"/>
        <w:right w:val="none" w:sz="0" w:space="0" w:color="auto"/>
      </w:divBdr>
    </w:div>
    <w:div w:id="1771848714">
      <w:bodyDiv w:val="1"/>
      <w:marLeft w:val="0"/>
      <w:marRight w:val="0"/>
      <w:marTop w:val="0"/>
      <w:marBottom w:val="0"/>
      <w:divBdr>
        <w:top w:val="none" w:sz="0" w:space="0" w:color="auto"/>
        <w:left w:val="none" w:sz="0" w:space="0" w:color="auto"/>
        <w:bottom w:val="none" w:sz="0" w:space="0" w:color="auto"/>
        <w:right w:val="none" w:sz="0" w:space="0" w:color="auto"/>
      </w:divBdr>
    </w:div>
    <w:div w:id="19389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mmunication@sauvegardeartfrancais.fr" TargetMode="External"/><Relationship Id="rId12" Type="http://schemas.openxmlformats.org/officeDocument/2006/relationships/hyperlink" Target="mailto:contact@sppef.org" TargetMode="External"/><Relationship Id="rId13" Type="http://schemas.openxmlformats.org/officeDocument/2006/relationships/hyperlink" Target="mailto:as.maggiori@sites-cites.fr" TargetMode="External"/><Relationship Id="rId14" Type="http://schemas.openxmlformats.org/officeDocument/2006/relationships/hyperlink" Target="mailto:beatrice.deleyssac@vmfpatrimoine.org"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hierry.nouvel@demeure-historique.org" TargetMode="External"/><Relationship Id="rId9" Type="http://schemas.openxmlformats.org/officeDocument/2006/relationships/hyperlink" Target="mailto:communication@maisons-paysannes.org" TargetMode="External"/><Relationship Id="rId10" Type="http://schemas.openxmlformats.org/officeDocument/2006/relationships/hyperlink" Target="mailto:contact@associations-patrimoine.org" TargetMode="External"/></Relationships>
</file>

<file path=word/_rels/header1.xml.rels><?xml version="1.0" encoding="UTF-8" standalone="yes"?>
<Relationships xmlns="http://schemas.openxmlformats.org/package/2006/relationships"><Relationship Id="rId11" Type="http://schemas.openxmlformats.org/officeDocument/2006/relationships/image" Target="media/image11.png"/><Relationship Id="rId12" Type="http://schemas.openxmlformats.org/officeDocument/2006/relationships/image" Target="media/image12.jpeg"/><Relationship Id="rId13" Type="http://schemas.openxmlformats.org/officeDocument/2006/relationships/image" Target="media/image13.png"/><Relationship Id="rId14" Type="http://schemas.openxmlformats.org/officeDocument/2006/relationships/image" Target="media/image14.jpg"/><Relationship Id="rId15" Type="http://schemas.openxmlformats.org/officeDocument/2006/relationships/image" Target="media/image15.png"/><Relationship Id="rId1" Type="http://schemas.openxmlformats.org/officeDocument/2006/relationships/image" Target="media/image1.jp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png"/><Relationship Id="rId5" Type="http://schemas.openxmlformats.org/officeDocument/2006/relationships/image" Target="media/image5.jp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 Id="rId10"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915EE-7C9E-1B41-A698-59B4A4F0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3509</Characters>
  <Application>Microsoft Macintosh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Utilisateur de Microsoft Office</cp:lastModifiedBy>
  <cp:revision>2</cp:revision>
  <cp:lastPrinted>2018-05-18T15:20:00Z</cp:lastPrinted>
  <dcterms:created xsi:type="dcterms:W3CDTF">2018-05-24T06:43:00Z</dcterms:created>
  <dcterms:modified xsi:type="dcterms:W3CDTF">2018-05-24T06:43:00Z</dcterms:modified>
</cp:coreProperties>
</file>